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A5" w:rsidRPr="004F7D65" w:rsidRDefault="00C862A5" w:rsidP="00C862A5">
      <w:pPr>
        <w:contextualSpacing w:val="0"/>
        <w:jc w:val="center"/>
        <w:rPr>
          <w:rFonts w:ascii="Times New Roman" w:hAnsi="Times New Roman" w:cs="Times New Roman"/>
        </w:rPr>
      </w:pPr>
      <w:r w:rsidRPr="004F7D65">
        <w:rPr>
          <w:rFonts w:ascii="Times New Roman" w:hAnsi="Times New Roman" w:cs="Times New Roman"/>
          <w:b/>
          <w:sz w:val="28"/>
          <w:szCs w:val="28"/>
        </w:rPr>
        <w:t>Prosecution Data Sheet</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Date this data sheet was prepared: </w:t>
      </w:r>
      <w:r w:rsidR="00D63728">
        <w:rPr>
          <w:rFonts w:ascii="Times New Roman" w:eastAsia="Times New Roman" w:hAnsi="Times New Roman" w:cs="Times New Roman"/>
          <w:sz w:val="24"/>
          <w:szCs w:val="24"/>
        </w:rPr>
        <w:t>January</w:t>
      </w:r>
      <w:r w:rsidRPr="004F7D65">
        <w:rPr>
          <w:rFonts w:ascii="Times New Roman" w:eastAsia="Times New Roman" w:hAnsi="Times New Roman" w:cs="Times New Roman"/>
          <w:sz w:val="24"/>
          <w:szCs w:val="24"/>
        </w:rPr>
        <w:t xml:space="preserve"> </w:t>
      </w:r>
      <w:r w:rsidR="00C01999">
        <w:rPr>
          <w:rFonts w:ascii="Times New Roman" w:eastAsia="Times New Roman" w:hAnsi="Times New Roman" w:cs="Times New Roman"/>
          <w:sz w:val="24"/>
          <w:szCs w:val="24"/>
        </w:rPr>
        <w:t>18</w:t>
      </w:r>
      <w:r w:rsidRPr="004F7D65">
        <w:rPr>
          <w:rFonts w:ascii="Times New Roman" w:eastAsia="Times New Roman" w:hAnsi="Times New Roman" w:cs="Times New Roman"/>
          <w:sz w:val="24"/>
          <w:szCs w:val="24"/>
        </w:rPr>
        <w:t>, 201</w:t>
      </w:r>
      <w:r w:rsidR="00D63728">
        <w:rPr>
          <w:rFonts w:ascii="Times New Roman" w:eastAsia="Times New Roman" w:hAnsi="Times New Roman" w:cs="Times New Roman"/>
          <w:sz w:val="24"/>
          <w:szCs w:val="24"/>
        </w:rPr>
        <w:t>7</w:t>
      </w:r>
    </w:p>
    <w:p w:rsidR="00C862A5" w:rsidRPr="004F7D65" w:rsidRDefault="00C862A5" w:rsidP="00C862A5">
      <w:pPr>
        <w:contextualSpacing w:val="0"/>
        <w:rPr>
          <w:rFonts w:ascii="Times New Roman" w:eastAsia="Times New Roman" w:hAnsi="Times New Roman" w:cs="Times New Roman"/>
          <w:sz w:val="24"/>
          <w:szCs w:val="24"/>
        </w:rPr>
      </w:pPr>
      <w:r w:rsidRPr="004F7D65">
        <w:rPr>
          <w:rFonts w:ascii="Times New Roman" w:eastAsia="Times New Roman" w:hAnsi="Times New Roman" w:cs="Times New Roman"/>
          <w:sz w:val="24"/>
          <w:szCs w:val="24"/>
        </w:rPr>
        <w:t xml:space="preserve">APN: </w:t>
      </w:r>
      <w:r w:rsidRPr="004F7D65">
        <w:rPr>
          <w:rFonts w:ascii="Times New Roman" w:eastAsia="Times New Roman" w:hAnsi="Times New Roman" w:cs="Times New Roman"/>
          <w:sz w:val="24"/>
          <w:szCs w:val="24"/>
        </w:rPr>
        <w:tab/>
        <w:t>14/</w:t>
      </w:r>
      <w:r w:rsidR="00DF0D43">
        <w:rPr>
          <w:rFonts w:ascii="Times New Roman" w:eastAsia="Times New Roman" w:hAnsi="Times New Roman" w:cs="Times New Roman"/>
          <w:sz w:val="24"/>
          <w:szCs w:val="24"/>
        </w:rPr>
        <w:t>782</w:t>
      </w:r>
      <w:r w:rsidRPr="004F7D65">
        <w:rPr>
          <w:rFonts w:ascii="Times New Roman" w:eastAsia="Times New Roman" w:hAnsi="Times New Roman" w:cs="Times New Roman"/>
          <w:sz w:val="24"/>
          <w:szCs w:val="24"/>
        </w:rPr>
        <w:t>,</w:t>
      </w:r>
      <w:r w:rsidR="00DF0D43">
        <w:rPr>
          <w:rFonts w:ascii="Times New Roman" w:eastAsia="Times New Roman" w:hAnsi="Times New Roman" w:cs="Times New Roman"/>
          <w:sz w:val="24"/>
          <w:szCs w:val="24"/>
        </w:rPr>
        <w:t>783</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40B6">
        <w:rPr>
          <w:rFonts w:ascii="Times New Roman" w:eastAsia="Times New Roman" w:hAnsi="Times New Roman" w:cs="Times New Roman"/>
          <w:sz w:val="24"/>
          <w:szCs w:val="24"/>
        </w:rPr>
        <w:t>Filing/371(c) Date:</w:t>
      </w:r>
      <w:r w:rsidRPr="004F7D65">
        <w:rPr>
          <w:rFonts w:ascii="Times New Roman" w:eastAsia="Times New Roman" w:hAnsi="Times New Roman" w:cs="Times New Roman"/>
          <w:sz w:val="24"/>
          <w:szCs w:val="24"/>
        </w:rPr>
        <w:t xml:space="preserve"> </w:t>
      </w:r>
      <w:r w:rsidR="008D65EF">
        <w:rPr>
          <w:rFonts w:ascii="Times New Roman" w:eastAsia="Times New Roman" w:hAnsi="Times New Roman" w:cs="Times New Roman"/>
          <w:sz w:val="24"/>
          <w:szCs w:val="24"/>
        </w:rPr>
        <w:t>October</w:t>
      </w:r>
      <w:r w:rsidRPr="00C440B6">
        <w:rPr>
          <w:rFonts w:ascii="Times New Roman" w:eastAsia="Times New Roman" w:hAnsi="Times New Roman" w:cs="Times New Roman"/>
          <w:sz w:val="24"/>
          <w:szCs w:val="24"/>
        </w:rPr>
        <w:t xml:space="preserve"> </w:t>
      </w:r>
      <w:r w:rsidR="00D13670">
        <w:rPr>
          <w:rFonts w:ascii="Times New Roman" w:eastAsia="Times New Roman" w:hAnsi="Times New Roman" w:cs="Times New Roman"/>
          <w:sz w:val="24"/>
          <w:szCs w:val="24"/>
        </w:rPr>
        <w:t>6</w:t>
      </w:r>
      <w:r w:rsidRPr="00C440B6">
        <w:rPr>
          <w:rFonts w:ascii="Times New Roman" w:eastAsia="Times New Roman" w:hAnsi="Times New Roman" w:cs="Times New Roman"/>
          <w:sz w:val="24"/>
          <w:szCs w:val="24"/>
        </w:rPr>
        <w:t>, 2015</w:t>
      </w:r>
    </w:p>
    <w:p w:rsidR="00C862A5" w:rsidRPr="00C440B6" w:rsidRDefault="00C862A5" w:rsidP="00C862A5">
      <w:pPr>
        <w:rPr>
          <w:rFonts w:ascii="Times New Roman" w:eastAsia="Times New Roman" w:hAnsi="Times New Roman" w:cs="Times New Roman"/>
          <w:sz w:val="24"/>
          <w:szCs w:val="24"/>
          <w:lang w:val="en-IN"/>
        </w:rPr>
      </w:pPr>
      <w:r w:rsidRPr="00C440B6">
        <w:rPr>
          <w:rFonts w:ascii="Times New Roman" w:eastAsia="Times New Roman" w:hAnsi="Times New Roman" w:cs="Times New Roman"/>
          <w:sz w:val="24"/>
          <w:szCs w:val="24"/>
        </w:rPr>
        <w:t xml:space="preserve">Title: </w:t>
      </w:r>
      <w:r w:rsidR="00AB7D0E">
        <w:rPr>
          <w:rFonts w:ascii="Times New Roman" w:eastAsia="Times New Roman" w:hAnsi="Times New Roman" w:cs="Times New Roman"/>
          <w:sz w:val="24"/>
          <w:szCs w:val="24"/>
          <w:lang w:val="en-IN"/>
        </w:rPr>
        <w:t>Reduction of Buffer Overflow</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Publication No: </w:t>
      </w:r>
      <w:r w:rsidR="001470BF" w:rsidRPr="001470BF">
        <w:rPr>
          <w:rFonts w:ascii="Times New Roman" w:eastAsia="Times New Roman" w:hAnsi="Times New Roman" w:cs="Times New Roman"/>
          <w:sz w:val="24"/>
          <w:szCs w:val="24"/>
        </w:rPr>
        <w:t>US</w:t>
      </w:r>
      <w:r w:rsidR="001470BF">
        <w:rPr>
          <w:rFonts w:ascii="Times New Roman" w:eastAsia="Times New Roman" w:hAnsi="Times New Roman" w:cs="Times New Roman"/>
          <w:sz w:val="24"/>
          <w:szCs w:val="24"/>
        </w:rPr>
        <w:t xml:space="preserve"> </w:t>
      </w:r>
      <w:r w:rsidR="001470BF" w:rsidRPr="001470BF">
        <w:rPr>
          <w:rFonts w:ascii="Times New Roman" w:eastAsia="Times New Roman" w:hAnsi="Times New Roman" w:cs="Times New Roman"/>
          <w:sz w:val="24"/>
          <w:szCs w:val="24"/>
        </w:rPr>
        <w:t>2016</w:t>
      </w:r>
      <w:r w:rsidR="001470BF">
        <w:rPr>
          <w:rFonts w:ascii="Times New Roman" w:eastAsia="Times New Roman" w:hAnsi="Times New Roman" w:cs="Times New Roman"/>
          <w:sz w:val="24"/>
          <w:szCs w:val="24"/>
        </w:rPr>
        <w:t>-</w:t>
      </w:r>
      <w:r w:rsidR="001470BF" w:rsidRPr="001470BF">
        <w:rPr>
          <w:rFonts w:ascii="Times New Roman" w:eastAsia="Times New Roman" w:hAnsi="Times New Roman" w:cs="Times New Roman"/>
          <w:sz w:val="24"/>
          <w:szCs w:val="24"/>
        </w:rPr>
        <w:t>0057044</w:t>
      </w:r>
      <w:r w:rsidR="001470BF">
        <w:rPr>
          <w:rFonts w:ascii="Times New Roman" w:eastAsia="Times New Roman" w:hAnsi="Times New Roman" w:cs="Times New Roman"/>
          <w:sz w:val="24"/>
          <w:szCs w:val="24"/>
        </w:rPr>
        <w:t xml:space="preserve"> </w:t>
      </w:r>
      <w:r w:rsidR="001470BF" w:rsidRPr="001470BF">
        <w:rPr>
          <w:rFonts w:ascii="Times New Roman" w:eastAsia="Times New Roman" w:hAnsi="Times New Roman" w:cs="Times New Roman"/>
          <w:sz w:val="24"/>
          <w:szCs w:val="24"/>
        </w:rPr>
        <w:t>A1</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Attorney Docket: </w:t>
      </w:r>
      <w:r w:rsidR="002D7F91">
        <w:rPr>
          <w:rFonts w:ascii="Times New Roman" w:eastAsia="Times New Roman" w:hAnsi="Times New Roman" w:cs="Times New Roman"/>
          <w:sz w:val="24"/>
          <w:szCs w:val="24"/>
        </w:rPr>
        <w:t>P61054US</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00C01999">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Designation Pair (AIA/Pre-AIA): AIA</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Status: Non Final Action Mailed</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 xml:space="preserve">Date Mailed: </w:t>
      </w:r>
      <w:r w:rsidR="00752914">
        <w:rPr>
          <w:rFonts w:ascii="Times New Roman" w:eastAsia="Times New Roman" w:hAnsi="Times New Roman" w:cs="Times New Roman"/>
          <w:sz w:val="24"/>
          <w:szCs w:val="24"/>
        </w:rPr>
        <w:t>Dec</w:t>
      </w:r>
      <w:r w:rsidR="00E37ED7">
        <w:rPr>
          <w:rFonts w:ascii="Times New Roman" w:eastAsia="Times New Roman" w:hAnsi="Times New Roman" w:cs="Times New Roman"/>
          <w:sz w:val="24"/>
          <w:szCs w:val="24"/>
        </w:rPr>
        <w:t>ember</w:t>
      </w:r>
      <w:r w:rsidRPr="004F7D65">
        <w:rPr>
          <w:rFonts w:ascii="Times New Roman" w:eastAsia="Times New Roman" w:hAnsi="Times New Roman" w:cs="Times New Roman"/>
          <w:sz w:val="24"/>
          <w:szCs w:val="24"/>
        </w:rPr>
        <w:t xml:space="preserve"> </w:t>
      </w:r>
      <w:r w:rsidR="00752914">
        <w:rPr>
          <w:rFonts w:ascii="Times New Roman" w:eastAsia="Times New Roman" w:hAnsi="Times New Roman" w:cs="Times New Roman"/>
          <w:sz w:val="24"/>
          <w:szCs w:val="24"/>
        </w:rPr>
        <w:t>1</w:t>
      </w:r>
      <w:r w:rsidRPr="004F7D65">
        <w:rPr>
          <w:rFonts w:ascii="Times New Roman" w:eastAsia="Times New Roman" w:hAnsi="Times New Roman" w:cs="Times New Roman"/>
          <w:sz w:val="24"/>
          <w:szCs w:val="24"/>
        </w:rPr>
        <w:t>5, 2016</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Shortened Statutory Period for Reply:  3 Months From Mailing Date</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Due Date:  </w:t>
      </w:r>
      <w:r w:rsidR="00E37ED7">
        <w:rPr>
          <w:rFonts w:ascii="Times New Roman" w:eastAsia="Times New Roman" w:hAnsi="Times New Roman" w:cs="Times New Roman"/>
          <w:sz w:val="24"/>
          <w:szCs w:val="24"/>
        </w:rPr>
        <w:t>March</w:t>
      </w:r>
      <w:r w:rsidRPr="004F7D65">
        <w:rPr>
          <w:rFonts w:ascii="Times New Roman" w:eastAsia="Times New Roman" w:hAnsi="Times New Roman" w:cs="Times New Roman"/>
          <w:sz w:val="24"/>
          <w:szCs w:val="24"/>
        </w:rPr>
        <w:t xml:space="preserve"> </w:t>
      </w:r>
      <w:r w:rsidR="006364A4">
        <w:rPr>
          <w:rFonts w:ascii="Times New Roman" w:eastAsia="Times New Roman" w:hAnsi="Times New Roman" w:cs="Times New Roman"/>
          <w:sz w:val="24"/>
          <w:szCs w:val="24"/>
        </w:rPr>
        <w:t>15</w:t>
      </w:r>
      <w:r w:rsidRPr="004F7D65">
        <w:rPr>
          <w:rFonts w:ascii="Times New Roman" w:eastAsia="Times New Roman" w:hAnsi="Times New Roman" w:cs="Times New Roman"/>
          <w:sz w:val="24"/>
          <w:szCs w:val="24"/>
        </w:rPr>
        <w:t>, 201</w:t>
      </w:r>
      <w:r w:rsidR="006364A4">
        <w:rPr>
          <w:rFonts w:ascii="Times New Roman" w:eastAsia="Times New Roman" w:hAnsi="Times New Roman" w:cs="Times New Roman"/>
          <w:sz w:val="24"/>
          <w:szCs w:val="24"/>
        </w:rPr>
        <w:t>7</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Extension Dates:</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 xml:space="preserve">  Amount:</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t xml:space="preserve">1 Month Extension Period: </w:t>
      </w:r>
      <w:r w:rsidR="00F5100A">
        <w:rPr>
          <w:rFonts w:ascii="Times New Roman" w:eastAsia="Times New Roman" w:hAnsi="Times New Roman" w:cs="Times New Roman"/>
          <w:sz w:val="24"/>
          <w:szCs w:val="24"/>
        </w:rPr>
        <w:t>March 16</w:t>
      </w:r>
      <w:r w:rsidRPr="004F7D65">
        <w:rPr>
          <w:rFonts w:ascii="Times New Roman" w:eastAsia="Times New Roman" w:hAnsi="Times New Roman" w:cs="Times New Roman"/>
          <w:sz w:val="24"/>
          <w:szCs w:val="24"/>
        </w:rPr>
        <w:t>, 201</w:t>
      </w:r>
      <w:r w:rsidR="00F5100A">
        <w:rPr>
          <w:rFonts w:ascii="Times New Roman" w:eastAsia="Times New Roman" w:hAnsi="Times New Roman" w:cs="Times New Roman"/>
          <w:sz w:val="24"/>
          <w:szCs w:val="24"/>
        </w:rPr>
        <w:t>7</w:t>
      </w:r>
      <w:r w:rsidRPr="004F7D65">
        <w:rPr>
          <w:rFonts w:ascii="Times New Roman" w:eastAsia="Times New Roman" w:hAnsi="Times New Roman" w:cs="Times New Roman"/>
          <w:sz w:val="24"/>
          <w:szCs w:val="24"/>
        </w:rPr>
        <w:t xml:space="preserve"> to </w:t>
      </w:r>
      <w:r w:rsidR="00F5100A">
        <w:rPr>
          <w:rFonts w:ascii="Times New Roman" w:eastAsia="Times New Roman" w:hAnsi="Times New Roman" w:cs="Times New Roman"/>
          <w:sz w:val="24"/>
          <w:szCs w:val="24"/>
        </w:rPr>
        <w:t>April</w:t>
      </w:r>
      <w:r w:rsidRPr="004F7D65">
        <w:rPr>
          <w:rFonts w:ascii="Times New Roman" w:eastAsia="Times New Roman" w:hAnsi="Times New Roman" w:cs="Times New Roman"/>
          <w:sz w:val="24"/>
          <w:szCs w:val="24"/>
        </w:rPr>
        <w:t xml:space="preserve"> </w:t>
      </w:r>
      <w:r w:rsidR="00F5100A">
        <w:rPr>
          <w:rFonts w:ascii="Times New Roman" w:eastAsia="Times New Roman" w:hAnsi="Times New Roman" w:cs="Times New Roman"/>
          <w:sz w:val="24"/>
          <w:szCs w:val="24"/>
        </w:rPr>
        <w:t>1</w:t>
      </w:r>
      <w:r w:rsidR="00613782">
        <w:rPr>
          <w:rFonts w:ascii="Times New Roman" w:eastAsia="Times New Roman" w:hAnsi="Times New Roman" w:cs="Times New Roman"/>
          <w:sz w:val="24"/>
          <w:szCs w:val="24"/>
        </w:rPr>
        <w:t>7</w:t>
      </w:r>
      <w:r w:rsidRPr="004F7D65">
        <w:rPr>
          <w:rFonts w:ascii="Times New Roman" w:eastAsia="Times New Roman" w:hAnsi="Times New Roman" w:cs="Times New Roman"/>
          <w:sz w:val="24"/>
          <w:szCs w:val="24"/>
        </w:rPr>
        <w:t>, 201</w:t>
      </w:r>
      <w:r w:rsidR="005D45AD">
        <w:rPr>
          <w:rFonts w:ascii="Times New Roman" w:eastAsia="Times New Roman" w:hAnsi="Times New Roman" w:cs="Times New Roman"/>
          <w:sz w:val="24"/>
          <w:szCs w:val="24"/>
        </w:rPr>
        <w:t>7</w:t>
      </w:r>
      <w:r w:rsidRPr="004F7D6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200.00</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t xml:space="preserve">2 Month Extension Period: </w:t>
      </w:r>
      <w:r w:rsidR="00277F89">
        <w:rPr>
          <w:rFonts w:ascii="Times New Roman" w:eastAsia="Times New Roman" w:hAnsi="Times New Roman" w:cs="Times New Roman"/>
          <w:sz w:val="24"/>
          <w:szCs w:val="24"/>
        </w:rPr>
        <w:t>April 1</w:t>
      </w:r>
      <w:r w:rsidR="002C4B9F">
        <w:rPr>
          <w:rFonts w:ascii="Times New Roman" w:eastAsia="Times New Roman" w:hAnsi="Times New Roman" w:cs="Times New Roman"/>
          <w:sz w:val="24"/>
          <w:szCs w:val="24"/>
        </w:rPr>
        <w:t>8</w:t>
      </w:r>
      <w:r w:rsidRPr="004F7D65">
        <w:rPr>
          <w:rFonts w:ascii="Times New Roman" w:eastAsia="Times New Roman" w:hAnsi="Times New Roman" w:cs="Times New Roman"/>
          <w:sz w:val="24"/>
          <w:szCs w:val="24"/>
        </w:rPr>
        <w:t>, 201</w:t>
      </w:r>
      <w:r w:rsidR="00277F89">
        <w:rPr>
          <w:rFonts w:ascii="Times New Roman" w:eastAsia="Times New Roman" w:hAnsi="Times New Roman" w:cs="Times New Roman"/>
          <w:sz w:val="24"/>
          <w:szCs w:val="24"/>
        </w:rPr>
        <w:t>7</w:t>
      </w:r>
      <w:r w:rsidRPr="004F7D65">
        <w:rPr>
          <w:rFonts w:ascii="Times New Roman" w:eastAsia="Times New Roman" w:hAnsi="Times New Roman" w:cs="Times New Roman"/>
          <w:sz w:val="24"/>
          <w:szCs w:val="24"/>
        </w:rPr>
        <w:t xml:space="preserve"> to </w:t>
      </w:r>
      <w:r w:rsidR="00277F89">
        <w:rPr>
          <w:rFonts w:ascii="Times New Roman" w:eastAsia="Times New Roman" w:hAnsi="Times New Roman" w:cs="Times New Roman"/>
          <w:sz w:val="24"/>
          <w:szCs w:val="24"/>
        </w:rPr>
        <w:t>May 15</w:t>
      </w:r>
      <w:r w:rsidRPr="004F7D65">
        <w:rPr>
          <w:rFonts w:ascii="Times New Roman" w:eastAsia="Times New Roman" w:hAnsi="Times New Roman" w:cs="Times New Roman"/>
          <w:sz w:val="24"/>
          <w:szCs w:val="24"/>
        </w:rPr>
        <w:t>, 201</w:t>
      </w:r>
      <w:r w:rsidR="00277F89">
        <w:rPr>
          <w:rFonts w:ascii="Times New Roman" w:eastAsia="Times New Roman" w:hAnsi="Times New Roman" w:cs="Times New Roman"/>
          <w:sz w:val="24"/>
          <w:szCs w:val="24"/>
        </w:rPr>
        <w:t>7</w:t>
      </w:r>
      <w:r w:rsidR="00277F89">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600.00</w:t>
      </w:r>
    </w:p>
    <w:p w:rsidR="00C862A5" w:rsidRPr="004F7D65" w:rsidRDefault="00C862A5" w:rsidP="00C862A5">
      <w:pPr>
        <w:ind w:firstLine="720"/>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3 Month Extension Period: </w:t>
      </w:r>
      <w:r w:rsidR="00D34843">
        <w:rPr>
          <w:rFonts w:ascii="Times New Roman" w:eastAsia="Times New Roman" w:hAnsi="Times New Roman" w:cs="Times New Roman"/>
          <w:sz w:val="24"/>
          <w:szCs w:val="24"/>
        </w:rPr>
        <w:t>May</w:t>
      </w:r>
      <w:r w:rsidRPr="004F7D65">
        <w:rPr>
          <w:rFonts w:ascii="Times New Roman" w:eastAsia="Times New Roman" w:hAnsi="Times New Roman" w:cs="Times New Roman"/>
          <w:sz w:val="24"/>
          <w:szCs w:val="24"/>
        </w:rPr>
        <w:t xml:space="preserve"> </w:t>
      </w:r>
      <w:r w:rsidR="00D34843">
        <w:rPr>
          <w:rFonts w:ascii="Times New Roman" w:eastAsia="Times New Roman" w:hAnsi="Times New Roman" w:cs="Times New Roman"/>
          <w:sz w:val="24"/>
          <w:szCs w:val="24"/>
        </w:rPr>
        <w:t>1</w:t>
      </w:r>
      <w:r w:rsidRPr="004F7D65">
        <w:rPr>
          <w:rFonts w:ascii="Times New Roman" w:eastAsia="Times New Roman" w:hAnsi="Times New Roman" w:cs="Times New Roman"/>
          <w:sz w:val="24"/>
          <w:szCs w:val="24"/>
        </w:rPr>
        <w:t>6, 201</w:t>
      </w:r>
      <w:r w:rsidR="00D34843">
        <w:rPr>
          <w:rFonts w:ascii="Times New Roman" w:eastAsia="Times New Roman" w:hAnsi="Times New Roman" w:cs="Times New Roman"/>
          <w:sz w:val="24"/>
          <w:szCs w:val="24"/>
        </w:rPr>
        <w:t>7</w:t>
      </w:r>
      <w:r w:rsidRPr="004F7D65">
        <w:rPr>
          <w:rFonts w:ascii="Times New Roman" w:eastAsia="Times New Roman" w:hAnsi="Times New Roman" w:cs="Times New Roman"/>
          <w:sz w:val="24"/>
          <w:szCs w:val="24"/>
        </w:rPr>
        <w:t xml:space="preserve"> to </w:t>
      </w:r>
      <w:r w:rsidR="005112F8">
        <w:rPr>
          <w:rFonts w:ascii="Times New Roman" w:eastAsia="Times New Roman" w:hAnsi="Times New Roman" w:cs="Times New Roman"/>
          <w:sz w:val="24"/>
          <w:szCs w:val="24"/>
        </w:rPr>
        <w:t>June</w:t>
      </w:r>
      <w:r w:rsidRPr="004F7D65">
        <w:rPr>
          <w:rFonts w:ascii="Times New Roman" w:eastAsia="Times New Roman" w:hAnsi="Times New Roman" w:cs="Times New Roman"/>
          <w:sz w:val="24"/>
          <w:szCs w:val="24"/>
        </w:rPr>
        <w:t xml:space="preserve"> </w:t>
      </w:r>
      <w:r w:rsidR="005112F8">
        <w:rPr>
          <w:rFonts w:ascii="Times New Roman" w:eastAsia="Times New Roman" w:hAnsi="Times New Roman" w:cs="Times New Roman"/>
          <w:sz w:val="24"/>
          <w:szCs w:val="24"/>
        </w:rPr>
        <w:t>15</w:t>
      </w:r>
      <w:r w:rsidRPr="004F7D65">
        <w:rPr>
          <w:rFonts w:ascii="Times New Roman" w:eastAsia="Times New Roman" w:hAnsi="Times New Roman" w:cs="Times New Roman"/>
          <w:sz w:val="24"/>
          <w:szCs w:val="24"/>
        </w:rPr>
        <w:t>, 201</w:t>
      </w:r>
      <w:r w:rsidR="005112F8">
        <w:rPr>
          <w:rFonts w:ascii="Times New Roman" w:eastAsia="Times New Roman" w:hAnsi="Times New Roman" w:cs="Times New Roman"/>
          <w:sz w:val="24"/>
          <w:szCs w:val="24"/>
        </w:rPr>
        <w:t>7</w:t>
      </w:r>
      <w:r w:rsidRPr="004F7D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112F8">
        <w:rPr>
          <w:rFonts w:ascii="Times New Roman" w:eastAsia="Times New Roman" w:hAnsi="Times New Roman" w:cs="Times New Roman"/>
          <w:sz w:val="24"/>
          <w:szCs w:val="24"/>
        </w:rPr>
        <w:tab/>
      </w:r>
      <w:r w:rsidR="005112F8">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1400.00</w:t>
      </w:r>
    </w:p>
    <w:p w:rsidR="00C862A5" w:rsidRPr="004F7D65" w:rsidRDefault="00C862A5" w:rsidP="00C862A5">
      <w:pPr>
        <w:ind w:firstLine="720"/>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Abandonment Date: </w:t>
      </w:r>
      <w:r w:rsidR="005112F8">
        <w:rPr>
          <w:rFonts w:ascii="Times New Roman" w:eastAsia="Times New Roman" w:hAnsi="Times New Roman" w:cs="Times New Roman"/>
          <w:sz w:val="24"/>
          <w:szCs w:val="24"/>
        </w:rPr>
        <w:t>June</w:t>
      </w:r>
      <w:r w:rsidRPr="004F7D65">
        <w:rPr>
          <w:rFonts w:ascii="Times New Roman" w:eastAsia="Times New Roman" w:hAnsi="Times New Roman" w:cs="Times New Roman"/>
          <w:sz w:val="24"/>
          <w:szCs w:val="24"/>
        </w:rPr>
        <w:t xml:space="preserve"> </w:t>
      </w:r>
      <w:r w:rsidR="005112F8">
        <w:rPr>
          <w:rFonts w:ascii="Times New Roman" w:eastAsia="Times New Roman" w:hAnsi="Times New Roman" w:cs="Times New Roman"/>
          <w:sz w:val="24"/>
          <w:szCs w:val="24"/>
        </w:rPr>
        <w:t>16</w:t>
      </w:r>
      <w:r w:rsidRPr="004F7D65">
        <w:rPr>
          <w:rFonts w:ascii="Times New Roman" w:eastAsia="Times New Roman" w:hAnsi="Times New Roman" w:cs="Times New Roman"/>
          <w:sz w:val="24"/>
          <w:szCs w:val="24"/>
        </w:rPr>
        <w:t>, 201</w:t>
      </w:r>
      <w:r w:rsidR="005112F8">
        <w:rPr>
          <w:rFonts w:ascii="Times New Roman" w:eastAsia="Times New Roman" w:hAnsi="Times New Roman" w:cs="Times New Roman"/>
          <w:sz w:val="24"/>
          <w:szCs w:val="24"/>
        </w:rPr>
        <w:t>7</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b/>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Inventors: </w:t>
      </w:r>
    </w:p>
    <w:p w:rsidR="00C862A5" w:rsidRPr="004F7D65" w:rsidRDefault="00C862A5" w:rsidP="00C862A5">
      <w:pPr>
        <w:pStyle w:val="Normal1"/>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r>
      <w:r w:rsidR="007805C6">
        <w:rPr>
          <w:rFonts w:ascii="Times New Roman" w:eastAsia="Times New Roman" w:hAnsi="Times New Roman" w:cs="Times New Roman"/>
          <w:sz w:val="24"/>
          <w:szCs w:val="24"/>
        </w:rPr>
        <w:t xml:space="preserve">Ali </w:t>
      </w:r>
      <w:proofErr w:type="spellStart"/>
      <w:r w:rsidR="007805C6">
        <w:rPr>
          <w:rFonts w:ascii="Times New Roman" w:eastAsia="Times New Roman" w:hAnsi="Times New Roman" w:cs="Times New Roman"/>
          <w:sz w:val="24"/>
          <w:szCs w:val="24"/>
        </w:rPr>
        <w:t>Koc</w:t>
      </w:r>
      <w:proofErr w:type="spellEnd"/>
      <w:r w:rsidRPr="004F7D65">
        <w:rPr>
          <w:rFonts w:ascii="Times New Roman" w:eastAsia="Times New Roman" w:hAnsi="Times New Roman" w:cs="Times New Roman"/>
          <w:sz w:val="24"/>
          <w:szCs w:val="24"/>
        </w:rPr>
        <w:tab/>
        <w:t xml:space="preserve"> </w:t>
      </w:r>
      <w:r w:rsidRPr="004F7D65">
        <w:rPr>
          <w:rFonts w:ascii="Times New Roman" w:eastAsia="Times New Roman" w:hAnsi="Times New Roman" w:cs="Times New Roman"/>
          <w:sz w:val="24"/>
          <w:szCs w:val="24"/>
        </w:rPr>
        <w:tab/>
      </w:r>
      <w:r w:rsidR="007805C6">
        <w:rPr>
          <w:rFonts w:ascii="Times New Roman" w:eastAsia="Times New Roman" w:hAnsi="Times New Roman" w:cs="Times New Roman"/>
          <w:sz w:val="24"/>
          <w:szCs w:val="24"/>
        </w:rPr>
        <w:tab/>
      </w:r>
      <w:r w:rsidR="007805C6" w:rsidRPr="007805C6">
        <w:rPr>
          <w:rFonts w:ascii="Times New Roman" w:eastAsia="Times New Roman" w:hAnsi="Times New Roman" w:cs="Times New Roman"/>
          <w:sz w:val="24"/>
          <w:szCs w:val="24"/>
        </w:rPr>
        <w:t>Portland, OR</w:t>
      </w:r>
    </w:p>
    <w:p w:rsidR="00C862A5" w:rsidRPr="004F7D65" w:rsidRDefault="00C862A5" w:rsidP="00C862A5">
      <w:pPr>
        <w:pStyle w:val="Normal1"/>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r>
      <w:proofErr w:type="spellStart"/>
      <w:r w:rsidR="007805C6">
        <w:rPr>
          <w:rFonts w:ascii="Times New Roman" w:eastAsia="Times New Roman" w:hAnsi="Times New Roman" w:cs="Times New Roman"/>
          <w:sz w:val="24"/>
          <w:szCs w:val="24"/>
        </w:rPr>
        <w:t>Satish</w:t>
      </w:r>
      <w:proofErr w:type="spellEnd"/>
      <w:r w:rsidR="007805C6">
        <w:rPr>
          <w:rFonts w:ascii="Times New Roman" w:eastAsia="Times New Roman" w:hAnsi="Times New Roman" w:cs="Times New Roman"/>
          <w:sz w:val="24"/>
          <w:szCs w:val="24"/>
        </w:rPr>
        <w:t xml:space="preserve"> </w:t>
      </w:r>
      <w:proofErr w:type="spellStart"/>
      <w:r w:rsidR="007805C6">
        <w:rPr>
          <w:rFonts w:ascii="Times New Roman" w:eastAsia="Times New Roman" w:hAnsi="Times New Roman" w:cs="Times New Roman"/>
          <w:sz w:val="24"/>
          <w:szCs w:val="24"/>
        </w:rPr>
        <w:t>Jha</w:t>
      </w:r>
      <w:proofErr w:type="spellEnd"/>
      <w:r w:rsidR="007805C6">
        <w:rPr>
          <w:rFonts w:ascii="Times New Roman" w:eastAsia="Times New Roman" w:hAnsi="Times New Roman" w:cs="Times New Roman"/>
          <w:sz w:val="24"/>
          <w:szCs w:val="24"/>
        </w:rPr>
        <w:tab/>
      </w:r>
      <w:r w:rsidR="007805C6">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007805C6" w:rsidRPr="007805C6">
        <w:rPr>
          <w:rFonts w:ascii="Times New Roman" w:eastAsia="Times New Roman" w:hAnsi="Times New Roman" w:cs="Times New Roman"/>
          <w:sz w:val="24"/>
          <w:szCs w:val="24"/>
        </w:rPr>
        <w:t>H</w:t>
      </w:r>
      <w:r w:rsidR="007805C6">
        <w:rPr>
          <w:rFonts w:ascii="Times New Roman" w:eastAsia="Times New Roman" w:hAnsi="Times New Roman" w:cs="Times New Roman"/>
          <w:sz w:val="24"/>
          <w:szCs w:val="24"/>
        </w:rPr>
        <w:t>i</w:t>
      </w:r>
      <w:r w:rsidR="007805C6" w:rsidRPr="007805C6">
        <w:rPr>
          <w:rFonts w:ascii="Times New Roman" w:eastAsia="Times New Roman" w:hAnsi="Times New Roman" w:cs="Times New Roman"/>
          <w:sz w:val="24"/>
          <w:szCs w:val="24"/>
        </w:rPr>
        <w:t>llsboro, OR</w:t>
      </w:r>
    </w:p>
    <w:p w:rsidR="00C862A5" w:rsidRPr="004F7D65" w:rsidRDefault="00C862A5" w:rsidP="00C862A5">
      <w:pPr>
        <w:pStyle w:val="Normal1"/>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r>
      <w:proofErr w:type="spellStart"/>
      <w:r w:rsidR="00850735">
        <w:rPr>
          <w:rFonts w:ascii="Times New Roman" w:eastAsia="Times New Roman" w:hAnsi="Times New Roman" w:cs="Times New Roman"/>
          <w:sz w:val="24"/>
          <w:szCs w:val="24"/>
        </w:rPr>
        <w:t>Maruti</w:t>
      </w:r>
      <w:proofErr w:type="spellEnd"/>
      <w:r w:rsidR="00850735">
        <w:rPr>
          <w:rFonts w:ascii="Times New Roman" w:eastAsia="Times New Roman" w:hAnsi="Times New Roman" w:cs="Times New Roman"/>
          <w:sz w:val="24"/>
          <w:szCs w:val="24"/>
        </w:rPr>
        <w:t xml:space="preserve"> Gupta</w:t>
      </w:r>
      <w:r w:rsidR="0085073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00850735" w:rsidRPr="007805C6">
        <w:rPr>
          <w:rFonts w:ascii="Times New Roman" w:eastAsia="Times New Roman" w:hAnsi="Times New Roman" w:cs="Times New Roman"/>
          <w:sz w:val="24"/>
          <w:szCs w:val="24"/>
        </w:rPr>
        <w:t>Portland, OR</w:t>
      </w:r>
    </w:p>
    <w:p w:rsidR="00C862A5" w:rsidRPr="004F7D65" w:rsidRDefault="000A4E74" w:rsidP="00C862A5">
      <w:pPr>
        <w:ind w:firstLine="720"/>
        <w:contextualSpacing w:val="0"/>
        <w:rPr>
          <w:rFonts w:ascii="Times New Roman" w:hAnsi="Times New Roman" w:cs="Times New Roman"/>
        </w:rPr>
      </w:pPr>
      <w:proofErr w:type="spellStart"/>
      <w:r>
        <w:rPr>
          <w:rFonts w:ascii="Times New Roman" w:eastAsia="Times New Roman" w:hAnsi="Times New Roman" w:cs="Times New Roman"/>
          <w:sz w:val="24"/>
          <w:szCs w:val="24"/>
        </w:rPr>
        <w:t>Rath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Vannithamby</w:t>
      </w:r>
      <w:proofErr w:type="spellEnd"/>
      <w:r w:rsidR="00C862A5" w:rsidRPr="004F7D65">
        <w:rPr>
          <w:rFonts w:ascii="Times New Roman" w:eastAsia="Times New Roman" w:hAnsi="Times New Roman" w:cs="Times New Roman"/>
          <w:sz w:val="24"/>
          <w:szCs w:val="24"/>
        </w:rPr>
        <w:tab/>
      </w:r>
      <w:r w:rsidR="00C862A5" w:rsidRPr="004F7D65">
        <w:rPr>
          <w:rFonts w:ascii="Times New Roman" w:eastAsia="Times New Roman" w:hAnsi="Times New Roman" w:cs="Times New Roman"/>
          <w:sz w:val="24"/>
          <w:szCs w:val="24"/>
        </w:rPr>
        <w:tab/>
      </w:r>
      <w:r w:rsidR="00850735" w:rsidRPr="007805C6">
        <w:rPr>
          <w:rFonts w:ascii="Times New Roman" w:eastAsia="Times New Roman" w:hAnsi="Times New Roman" w:cs="Times New Roman"/>
          <w:sz w:val="24"/>
          <w:szCs w:val="24"/>
        </w:rPr>
        <w:t>Portland, OR</w:t>
      </w:r>
    </w:p>
    <w:p w:rsidR="00C862A5" w:rsidRPr="004F7D65" w:rsidRDefault="00C862A5" w:rsidP="00C862A5">
      <w:pPr>
        <w:contextualSpacing w:val="0"/>
        <w:rPr>
          <w:rFonts w:ascii="Times New Roman" w:hAnsi="Times New Roman" w:cs="Times New Roman"/>
        </w:rPr>
      </w:pP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Applicant: </w:t>
      </w:r>
    </w:p>
    <w:p w:rsidR="00C862A5" w:rsidRPr="004F7D65" w:rsidRDefault="00C862A5" w:rsidP="007859DB">
      <w:pPr>
        <w:pStyle w:val="Normal1"/>
        <w:contextualSpacing w:val="0"/>
        <w:rPr>
          <w:rFonts w:ascii="Times New Roman" w:hAnsi="Times New Roman" w:cs="Times New Roman"/>
        </w:rPr>
      </w:pPr>
      <w:r w:rsidRPr="004F7D65">
        <w:rPr>
          <w:rFonts w:ascii="Times New Roman" w:eastAsia="Times New Roman" w:hAnsi="Times New Roman" w:cs="Times New Roman"/>
          <w:sz w:val="24"/>
          <w:szCs w:val="24"/>
        </w:rPr>
        <w:tab/>
      </w:r>
      <w:r w:rsidR="007859DB" w:rsidRPr="007859DB">
        <w:rPr>
          <w:rFonts w:ascii="Times New Roman" w:eastAsia="Times New Roman" w:hAnsi="Times New Roman" w:cs="Times New Roman"/>
          <w:sz w:val="24"/>
          <w:szCs w:val="24"/>
        </w:rPr>
        <w:t>Intel I</w:t>
      </w:r>
      <w:r w:rsidR="007859DB">
        <w:rPr>
          <w:rFonts w:ascii="Times New Roman" w:eastAsia="Times New Roman" w:hAnsi="Times New Roman" w:cs="Times New Roman"/>
          <w:sz w:val="24"/>
          <w:szCs w:val="24"/>
        </w:rPr>
        <w:t>P</w:t>
      </w:r>
      <w:r w:rsidR="007859DB" w:rsidRPr="007859DB">
        <w:rPr>
          <w:rFonts w:ascii="Times New Roman" w:eastAsia="Times New Roman" w:hAnsi="Times New Roman" w:cs="Times New Roman"/>
          <w:sz w:val="24"/>
          <w:szCs w:val="24"/>
        </w:rPr>
        <w:t xml:space="preserve"> Corporation , Santa Clara, CA (US)</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Assignor:</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Reel/Frame</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Assignee:</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00943A6D">
        <w:rPr>
          <w:rFonts w:ascii="Times New Roman" w:eastAsia="Times New Roman" w:hAnsi="Times New Roman" w:cs="Times New Roman"/>
          <w:sz w:val="24"/>
          <w:szCs w:val="24"/>
        </w:rPr>
        <w:t>Koc</w:t>
      </w:r>
      <w:proofErr w:type="spellEnd"/>
      <w:r w:rsidRPr="004F7D65">
        <w:rPr>
          <w:rFonts w:ascii="Times New Roman" w:eastAsia="Times New Roman" w:hAnsi="Times New Roman" w:cs="Times New Roman"/>
          <w:sz w:val="24"/>
          <w:szCs w:val="24"/>
        </w:rPr>
        <w:t xml:space="preserve"> et al.</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00DA451E" w:rsidRPr="00DA451E">
        <w:rPr>
          <w:rFonts w:ascii="Times New Roman" w:eastAsia="Times New Roman" w:hAnsi="Times New Roman" w:cs="Times New Roman"/>
          <w:sz w:val="24"/>
          <w:szCs w:val="24"/>
        </w:rPr>
        <w:t>037686/0879</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00DD4045" w:rsidRPr="00DA451E">
        <w:rPr>
          <w:rFonts w:ascii="Times New Roman" w:eastAsia="Times New Roman" w:hAnsi="Times New Roman" w:cs="Times New Roman"/>
          <w:sz w:val="24"/>
          <w:szCs w:val="24"/>
        </w:rPr>
        <w:t>Intel I</w:t>
      </w:r>
      <w:r w:rsidR="00DD4045">
        <w:rPr>
          <w:rFonts w:ascii="Times New Roman" w:eastAsia="Times New Roman" w:hAnsi="Times New Roman" w:cs="Times New Roman"/>
          <w:sz w:val="24"/>
          <w:szCs w:val="24"/>
        </w:rPr>
        <w:t>P</w:t>
      </w:r>
      <w:r w:rsidR="00DD4045" w:rsidRPr="00DA451E">
        <w:rPr>
          <w:rFonts w:ascii="Times New Roman" w:eastAsia="Times New Roman" w:hAnsi="Times New Roman" w:cs="Times New Roman"/>
          <w:sz w:val="24"/>
          <w:szCs w:val="24"/>
        </w:rPr>
        <w:t xml:space="preserve"> Corporation</w:t>
      </w:r>
      <w:r w:rsidR="00DD4045" w:rsidRPr="004F7D65">
        <w:rPr>
          <w:rFonts w:ascii="Times New Roman" w:eastAsia="Times New Roman" w:hAnsi="Times New Roman" w:cs="Times New Roman"/>
          <w:sz w:val="24"/>
          <w:szCs w:val="24"/>
        </w:rPr>
        <w:t xml:space="preserve"> </w:t>
      </w:r>
    </w:p>
    <w:p w:rsidR="00C862A5" w:rsidRPr="004F7D65" w:rsidRDefault="00C862A5" w:rsidP="00C862A5">
      <w:pPr>
        <w:contextualSpacing w:val="0"/>
        <w:rPr>
          <w:rFonts w:ascii="Times New Roman" w:hAnsi="Times New Roman" w:cs="Times New Roman"/>
        </w:rPr>
      </w:pP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Ancestors (Claim sets attached  _</w:t>
      </w:r>
      <w:r w:rsidR="00E07438">
        <w:rPr>
          <w:rFonts w:ascii="Times New Roman" w:eastAsia="Times New Roman" w:hAnsi="Times New Roman" w:cs="Times New Roman"/>
          <w:sz w:val="24"/>
          <w:szCs w:val="24"/>
        </w:rPr>
        <w:t>x</w:t>
      </w:r>
      <w:r w:rsidRPr="004F7D65">
        <w:rPr>
          <w:rFonts w:ascii="Times New Roman" w:eastAsia="Times New Roman" w:hAnsi="Times New Roman" w:cs="Times New Roman"/>
          <w:sz w:val="24"/>
          <w:szCs w:val="24"/>
        </w:rPr>
        <w:t xml:space="preserve">_ Yes or __ No): </w:t>
      </w: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 xml:space="preserve">  </w:t>
      </w:r>
      <w:r w:rsidRPr="004F7D65">
        <w:rPr>
          <w:rFonts w:ascii="Times New Roman" w:eastAsia="Times New Roman" w:hAnsi="Times New Roman" w:cs="Times New Roman"/>
          <w:sz w:val="24"/>
          <w:szCs w:val="24"/>
        </w:rPr>
        <w:tab/>
        <w:t>Type:</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APN:</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Filing Date:</w:t>
      </w:r>
    </w:p>
    <w:p w:rsidR="00C862A5" w:rsidRDefault="00C862A5" w:rsidP="00C862A5">
      <w:pPr>
        <w:contextualSpacing w:val="0"/>
        <w:rPr>
          <w:rFonts w:ascii="Times New Roman" w:eastAsia="Times New Roman" w:hAnsi="Times New Roman" w:cs="Times New Roman"/>
          <w:sz w:val="24"/>
          <w:szCs w:val="24"/>
        </w:rPr>
      </w:pPr>
      <w:r w:rsidRPr="004F7D65">
        <w:rPr>
          <w:rFonts w:ascii="Times New Roman" w:eastAsia="Times New Roman" w:hAnsi="Times New Roman" w:cs="Times New Roman"/>
          <w:sz w:val="24"/>
          <w:szCs w:val="24"/>
        </w:rPr>
        <w:tab/>
      </w:r>
      <w:r w:rsidR="00D26D9F">
        <w:rPr>
          <w:rFonts w:ascii="Times New Roman" w:eastAsia="Times New Roman" w:hAnsi="Times New Roman" w:cs="Times New Roman"/>
          <w:sz w:val="24"/>
          <w:szCs w:val="24"/>
        </w:rPr>
        <w:t>PCT</w:t>
      </w:r>
      <w:r w:rsidR="00D26D9F">
        <w:rPr>
          <w:rFonts w:ascii="Times New Roman" w:eastAsia="Times New Roman" w:hAnsi="Times New Roman" w:cs="Times New Roman"/>
          <w:sz w:val="24"/>
          <w:szCs w:val="24"/>
        </w:rPr>
        <w:tab/>
      </w:r>
      <w:r w:rsidR="00D26D9F">
        <w:rPr>
          <w:rFonts w:ascii="Times New Roman" w:eastAsia="Times New Roman" w:hAnsi="Times New Roman" w:cs="Times New Roman"/>
          <w:sz w:val="24"/>
          <w:szCs w:val="24"/>
        </w:rPr>
        <w:tab/>
      </w:r>
      <w:r w:rsidR="00D26D9F" w:rsidRPr="00D26D9F">
        <w:rPr>
          <w:rFonts w:ascii="Times New Roman" w:eastAsia="Times New Roman" w:hAnsi="Times New Roman" w:cs="Times New Roman"/>
          <w:sz w:val="24"/>
          <w:szCs w:val="24"/>
        </w:rPr>
        <w:t>PCT/US2013/075474</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00D26D9F">
        <w:rPr>
          <w:rFonts w:ascii="Times New Roman" w:eastAsia="Times New Roman" w:hAnsi="Times New Roman" w:cs="Times New Roman"/>
          <w:sz w:val="24"/>
          <w:szCs w:val="24"/>
        </w:rPr>
        <w:t>December</w:t>
      </w:r>
      <w:r w:rsidRPr="004F7D65">
        <w:rPr>
          <w:rFonts w:ascii="Times New Roman" w:eastAsia="Times New Roman" w:hAnsi="Times New Roman" w:cs="Times New Roman"/>
          <w:sz w:val="24"/>
          <w:szCs w:val="24"/>
        </w:rPr>
        <w:t xml:space="preserve"> </w:t>
      </w:r>
      <w:r w:rsidR="00D26D9F">
        <w:rPr>
          <w:rFonts w:ascii="Times New Roman" w:eastAsia="Times New Roman" w:hAnsi="Times New Roman" w:cs="Times New Roman"/>
          <w:sz w:val="24"/>
          <w:szCs w:val="24"/>
        </w:rPr>
        <w:t>16</w:t>
      </w:r>
      <w:r w:rsidRPr="004F7D65">
        <w:rPr>
          <w:rFonts w:ascii="Times New Roman" w:eastAsia="Times New Roman" w:hAnsi="Times New Roman" w:cs="Times New Roman"/>
          <w:sz w:val="24"/>
          <w:szCs w:val="24"/>
        </w:rPr>
        <w:t>, 201</w:t>
      </w:r>
      <w:r w:rsidR="00D26D9F">
        <w:rPr>
          <w:rFonts w:ascii="Times New Roman" w:eastAsia="Times New Roman" w:hAnsi="Times New Roman" w:cs="Times New Roman"/>
          <w:sz w:val="24"/>
          <w:szCs w:val="24"/>
        </w:rPr>
        <w:t>3</w:t>
      </w:r>
    </w:p>
    <w:p w:rsidR="00515F7C" w:rsidRPr="004F7D65" w:rsidRDefault="00515F7C" w:rsidP="00C862A5">
      <w:pPr>
        <w:contextualSpacing w:val="0"/>
        <w:rPr>
          <w:rFonts w:ascii="Times New Roman" w:hAnsi="Times New Roman" w:cs="Times New Roman"/>
        </w:rPr>
      </w:pPr>
      <w:r>
        <w:rPr>
          <w:rFonts w:ascii="Times New Roman" w:eastAsia="Times New Roman" w:hAnsi="Times New Roman" w:cs="Times New Roman"/>
          <w:sz w:val="24"/>
          <w:szCs w:val="24"/>
        </w:rPr>
        <w:tab/>
        <w:t>Provisional</w:t>
      </w:r>
      <w:r>
        <w:rPr>
          <w:rFonts w:ascii="Times New Roman" w:eastAsia="Times New Roman" w:hAnsi="Times New Roman" w:cs="Times New Roman"/>
          <w:sz w:val="24"/>
          <w:szCs w:val="24"/>
        </w:rPr>
        <w:tab/>
        <w:t xml:space="preserve">       </w:t>
      </w:r>
      <w:r w:rsidRPr="00515F7C">
        <w:rPr>
          <w:rFonts w:ascii="Times New Roman" w:eastAsia="Times New Roman" w:hAnsi="Times New Roman" w:cs="Times New Roman"/>
          <w:sz w:val="24"/>
          <w:szCs w:val="24"/>
        </w:rPr>
        <w:t>61/821,635</w:t>
      </w:r>
      <w:r w:rsidR="00837413">
        <w:rPr>
          <w:rFonts w:ascii="Times New Roman" w:eastAsia="Times New Roman" w:hAnsi="Times New Roman" w:cs="Times New Roman"/>
          <w:sz w:val="24"/>
          <w:szCs w:val="24"/>
        </w:rPr>
        <w:tab/>
      </w:r>
      <w:r w:rsidR="00837413">
        <w:rPr>
          <w:rFonts w:ascii="Times New Roman" w:eastAsia="Times New Roman" w:hAnsi="Times New Roman" w:cs="Times New Roman"/>
          <w:sz w:val="24"/>
          <w:szCs w:val="24"/>
        </w:rPr>
        <w:tab/>
      </w:r>
      <w:r w:rsidR="00966514">
        <w:rPr>
          <w:rFonts w:ascii="Times New Roman" w:eastAsia="Times New Roman" w:hAnsi="Times New Roman" w:cs="Times New Roman"/>
          <w:sz w:val="24"/>
          <w:szCs w:val="24"/>
        </w:rPr>
        <w:t>May 09, 2013</w:t>
      </w:r>
    </w:p>
    <w:p w:rsidR="00C862A5" w:rsidRPr="004F7D65" w:rsidRDefault="00C862A5" w:rsidP="00C862A5">
      <w:pPr>
        <w:contextualSpacing w:val="0"/>
        <w:rPr>
          <w:rFonts w:ascii="Times New Roman" w:hAnsi="Times New Roman" w:cs="Times New Roman"/>
        </w:rPr>
      </w:pPr>
    </w:p>
    <w:p w:rsidR="00C862A5" w:rsidRPr="004F7D65" w:rsidRDefault="00C862A5" w:rsidP="00C862A5">
      <w:pPr>
        <w:contextualSpacing w:val="0"/>
        <w:rPr>
          <w:rFonts w:ascii="Times New Roman" w:hAnsi="Times New Roman" w:cs="Times New Roman"/>
        </w:rPr>
      </w:pPr>
      <w:r w:rsidRPr="004F7D65">
        <w:rPr>
          <w:rFonts w:ascii="Times New Roman" w:eastAsia="Times New Roman" w:hAnsi="Times New Roman" w:cs="Times New Roman"/>
          <w:sz w:val="24"/>
          <w:szCs w:val="24"/>
        </w:rPr>
        <w:t>Descendant  (Claims sets attached _x__ Yes or __ No):</w:t>
      </w:r>
    </w:p>
    <w:p w:rsidR="00C862A5" w:rsidRPr="004F7D65" w:rsidRDefault="00C862A5" w:rsidP="00C862A5">
      <w:pPr>
        <w:ind w:firstLine="720"/>
        <w:contextualSpacing w:val="0"/>
        <w:rPr>
          <w:rFonts w:ascii="Times New Roman" w:hAnsi="Times New Roman" w:cs="Times New Roman"/>
        </w:rPr>
      </w:pPr>
      <w:r w:rsidRPr="004F7D65">
        <w:rPr>
          <w:rFonts w:ascii="Times New Roman" w:eastAsia="Times New Roman" w:hAnsi="Times New Roman" w:cs="Times New Roman"/>
          <w:sz w:val="24"/>
          <w:szCs w:val="24"/>
        </w:rPr>
        <w:t>Type:</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APN:</w:t>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r>
      <w:r w:rsidRPr="004F7D65">
        <w:rPr>
          <w:rFonts w:ascii="Times New Roman" w:eastAsia="Times New Roman" w:hAnsi="Times New Roman" w:cs="Times New Roman"/>
          <w:sz w:val="24"/>
          <w:szCs w:val="24"/>
        </w:rPr>
        <w:tab/>
        <w:t>Filing Date:</w:t>
      </w:r>
    </w:p>
    <w:p w:rsidR="00C862A5" w:rsidRPr="004F7D65" w:rsidRDefault="00C862A5" w:rsidP="00C862A5">
      <w:pPr>
        <w:contextualSpacing w:val="0"/>
        <w:rPr>
          <w:rFonts w:ascii="Times New Roman" w:eastAsia="Times New Roman" w:hAnsi="Times New Roman" w:cs="Times New Roman"/>
          <w:sz w:val="24"/>
          <w:szCs w:val="24"/>
        </w:rPr>
      </w:pPr>
      <w:r w:rsidRPr="004F7D65">
        <w:rPr>
          <w:rFonts w:ascii="Times New Roman" w:eastAsia="Times New Roman" w:hAnsi="Times New Roman" w:cs="Times New Roman"/>
          <w:sz w:val="24"/>
          <w:szCs w:val="24"/>
        </w:rPr>
        <w:tab/>
      </w:r>
    </w:p>
    <w:p w:rsidR="00C862A5" w:rsidRPr="004F7D65" w:rsidRDefault="00C862A5" w:rsidP="00C862A5">
      <w:pPr>
        <w:contextualSpacing w:val="0"/>
        <w:rPr>
          <w:rFonts w:ascii="Times New Roman" w:eastAsia="Times New Roman" w:hAnsi="Times New Roman" w:cs="Times New Roman"/>
          <w:sz w:val="24"/>
          <w:szCs w:val="24"/>
        </w:rPr>
      </w:pPr>
    </w:p>
    <w:p w:rsidR="00C862A5" w:rsidRPr="000B3D3D" w:rsidRDefault="00C862A5" w:rsidP="00C862A5">
      <w:pPr>
        <w:contextualSpacing w:val="0"/>
        <w:rPr>
          <w:rFonts w:ascii="Times New Roman" w:hAnsi="Times New Roman" w:cs="Times New Roman"/>
          <w:sz w:val="24"/>
          <w:szCs w:val="24"/>
        </w:rPr>
      </w:pPr>
      <w:r w:rsidRPr="000B3D3D">
        <w:rPr>
          <w:rFonts w:ascii="Times New Roman" w:eastAsia="Times New Roman" w:hAnsi="Times New Roman" w:cs="Times New Roman"/>
          <w:sz w:val="24"/>
          <w:szCs w:val="24"/>
        </w:rPr>
        <w:t>IDS Family Management:</w:t>
      </w:r>
    </w:p>
    <w:p w:rsidR="00AA5C3A" w:rsidRDefault="00C862A5" w:rsidP="00C862A5">
      <w:pPr>
        <w:contextualSpacing w:val="0"/>
        <w:rPr>
          <w:rFonts w:ascii="Times New Roman" w:eastAsia="Times New Roman" w:hAnsi="Times New Roman" w:cs="Times New Roman"/>
          <w:sz w:val="24"/>
          <w:szCs w:val="24"/>
        </w:rPr>
      </w:pPr>
      <w:r w:rsidRPr="000B3D3D">
        <w:rPr>
          <w:rFonts w:ascii="Times New Roman" w:eastAsia="Times New Roman" w:hAnsi="Times New Roman" w:cs="Times New Roman"/>
          <w:sz w:val="24"/>
          <w:szCs w:val="24"/>
        </w:rPr>
        <w:tab/>
      </w:r>
    </w:p>
    <w:p w:rsidR="00C862A5" w:rsidRPr="000B3D3D" w:rsidRDefault="00C862A5" w:rsidP="00AA5C3A">
      <w:pPr>
        <w:ind w:firstLine="720"/>
        <w:contextualSpacing w:val="0"/>
        <w:rPr>
          <w:rFonts w:ascii="Times New Roman" w:hAnsi="Times New Roman" w:cs="Times New Roman"/>
          <w:sz w:val="24"/>
          <w:szCs w:val="24"/>
        </w:rPr>
      </w:pPr>
      <w:r w:rsidRPr="000B3D3D">
        <w:rPr>
          <w:rFonts w:ascii="Times New Roman" w:eastAsia="Times New Roman" w:hAnsi="Times New Roman" w:cs="Times New Roman"/>
          <w:sz w:val="24"/>
          <w:szCs w:val="24"/>
        </w:rPr>
        <w:t>Total # References Cited in This Application Only  ___</w:t>
      </w:r>
      <w:r w:rsidR="00DD4045">
        <w:rPr>
          <w:rFonts w:ascii="Times New Roman" w:eastAsia="Times New Roman" w:hAnsi="Times New Roman" w:cs="Times New Roman"/>
          <w:sz w:val="24"/>
          <w:szCs w:val="24"/>
        </w:rPr>
        <w:t>9</w:t>
      </w:r>
      <w:r w:rsidRPr="000B3D3D">
        <w:rPr>
          <w:rFonts w:ascii="Times New Roman" w:eastAsia="Times New Roman" w:hAnsi="Times New Roman" w:cs="Times New Roman"/>
          <w:sz w:val="24"/>
          <w:szCs w:val="24"/>
        </w:rPr>
        <w:t>___</w:t>
      </w:r>
    </w:p>
    <w:p w:rsidR="00C862A5" w:rsidRPr="004F7D65" w:rsidRDefault="00C862A5" w:rsidP="00C862A5">
      <w:pPr>
        <w:contextualSpacing w:val="0"/>
        <w:rPr>
          <w:rFonts w:ascii="Times New Roman" w:eastAsia="Times New Roman" w:hAnsi="Times New Roman" w:cs="Times New Roman"/>
          <w:sz w:val="24"/>
          <w:szCs w:val="24"/>
        </w:rPr>
      </w:pPr>
      <w:r w:rsidRPr="000B3D3D">
        <w:rPr>
          <w:rFonts w:ascii="Times New Roman" w:eastAsia="Times New Roman" w:hAnsi="Times New Roman" w:cs="Times New Roman"/>
          <w:sz w:val="24"/>
          <w:szCs w:val="24"/>
        </w:rPr>
        <w:tab/>
        <w:t>Number of IDSs Not Considered By Examiner Yet ___0____</w:t>
      </w:r>
    </w:p>
    <w:p w:rsidR="00C862A5" w:rsidRPr="004F7D65" w:rsidRDefault="00C862A5" w:rsidP="00C862A5">
      <w:pPr>
        <w:contextualSpacing w:val="0"/>
        <w:rPr>
          <w:rFonts w:ascii="Times New Roman" w:eastAsia="Times New Roman" w:hAnsi="Times New Roman" w:cs="Times New Roman"/>
          <w:sz w:val="24"/>
          <w:szCs w:val="24"/>
        </w:rPr>
      </w:pPr>
    </w:p>
    <w:tbl>
      <w:tblPr>
        <w:tblW w:w="1003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921"/>
        <w:gridCol w:w="1787"/>
        <w:gridCol w:w="1787"/>
        <w:gridCol w:w="1855"/>
        <w:gridCol w:w="1152"/>
        <w:gridCol w:w="1528"/>
      </w:tblGrid>
      <w:tr w:rsidR="00C862A5" w:rsidRPr="00D6684E" w:rsidTr="0064229E">
        <w:trPr>
          <w:trHeight w:val="153"/>
        </w:trPr>
        <w:tc>
          <w:tcPr>
            <w:tcW w:w="192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Law Applied:</w:t>
            </w:r>
          </w:p>
        </w:tc>
        <w:tc>
          <w:tcPr>
            <w:tcW w:w="1787"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AIA</w:t>
            </w:r>
          </w:p>
        </w:tc>
        <w:tc>
          <w:tcPr>
            <w:tcW w:w="1787"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45"/>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Claims</w:t>
            </w:r>
          </w:p>
        </w:tc>
        <w:tc>
          <w:tcPr>
            <w:tcW w:w="5429" w:type="dxa"/>
            <w:gridSpan w:val="3"/>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Earliest Effective Prior Art Shield Date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Group:Numbers</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102(a)/102(a)(1)</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102(b)/None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102(e)/102(a)(2)</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9C5378">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 1-</w:t>
            </w:r>
            <w:r w:rsidR="009C5378">
              <w:rPr>
                <w:rFonts w:ascii="Times New Roman" w:eastAsia="Times New Roman" w:hAnsi="Times New Roman" w:cs="Times New Roman"/>
                <w:b/>
                <w:sz w:val="24"/>
                <w:szCs w:val="24"/>
              </w:rPr>
              <w:t>23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5B2614" w:rsidP="005B2614">
            <w:pPr>
              <w:contextualSpacing w:val="0"/>
              <w:rPr>
                <w:rFonts w:ascii="Times New Roman" w:hAnsi="Times New Roman" w:cs="Times New Roman"/>
                <w:sz w:val="24"/>
                <w:szCs w:val="24"/>
              </w:rPr>
            </w:pPr>
            <w:r>
              <w:rPr>
                <w:rFonts w:ascii="Times New Roman" w:eastAsia="Times New Roman" w:hAnsi="Times New Roman" w:cs="Times New Roman"/>
                <w:b/>
                <w:sz w:val="24"/>
                <w:szCs w:val="24"/>
              </w:rPr>
              <w:t>May</w:t>
            </w:r>
            <w:r w:rsidR="00C862A5" w:rsidRPr="00D668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9</w:t>
            </w:r>
            <w:r w:rsidR="00C862A5" w:rsidRPr="00D6684E">
              <w:rPr>
                <w:rFonts w:ascii="Times New Roman" w:eastAsia="Times New Roman" w:hAnsi="Times New Roman" w:cs="Times New Roman"/>
                <w:b/>
                <w:sz w:val="24"/>
                <w:szCs w:val="24"/>
              </w:rPr>
              <w:t>, 201</w:t>
            </w:r>
            <w:r>
              <w:rPr>
                <w:rFonts w:ascii="Times New Roman" w:eastAsia="Times New Roman" w:hAnsi="Times New Roman" w:cs="Times New Roman"/>
                <w:b/>
                <w:sz w:val="24"/>
                <w:szCs w:val="24"/>
              </w:rPr>
              <w:t>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E247D4" w:rsidP="002A0BF3">
            <w:pPr>
              <w:contextualSpacing w:val="0"/>
              <w:rPr>
                <w:rFonts w:ascii="Times New Roman" w:hAnsi="Times New Roman" w:cs="Times New Roman"/>
                <w:sz w:val="24"/>
                <w:szCs w:val="24"/>
              </w:rPr>
            </w:pPr>
            <w:r>
              <w:rPr>
                <w:rFonts w:ascii="Times New Roman" w:eastAsia="Times New Roman" w:hAnsi="Times New Roman" w:cs="Times New Roman"/>
                <w:b/>
                <w:sz w:val="24"/>
                <w:szCs w:val="24"/>
              </w:rPr>
              <w:t>May</w:t>
            </w:r>
            <w:r w:rsidRPr="00D668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9</w:t>
            </w:r>
            <w:r w:rsidRPr="00D6684E">
              <w:rPr>
                <w:rFonts w:ascii="Times New Roman" w:eastAsia="Times New Roman" w:hAnsi="Times New Roman" w:cs="Times New Roman"/>
                <w:b/>
                <w:sz w:val="24"/>
                <w:szCs w:val="24"/>
              </w:rPr>
              <w:t>, 201</w:t>
            </w:r>
            <w:r>
              <w:rPr>
                <w:rFonts w:ascii="Times New Roman" w:eastAsia="Times New Roman" w:hAnsi="Times New Roman" w:cs="Times New Roman"/>
                <w:b/>
                <w:sz w:val="24"/>
                <w:szCs w:val="24"/>
              </w:rPr>
              <w:t>3</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45"/>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B: None*</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5429" w:type="dxa"/>
            <w:gridSpan w:val="3"/>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Earliest Effective Reference Date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Reference</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102(a)/102(a)(1)</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102(b)/None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102(e)/102(a)(2)</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45"/>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AB2D74" w:rsidP="00AB2D74">
            <w:pPr>
              <w:contextualSpacing w:val="0"/>
              <w:rPr>
                <w:rFonts w:ascii="Times New Roman" w:hAnsi="Times New Roman" w:cs="Times New Roman"/>
                <w:sz w:val="24"/>
                <w:szCs w:val="24"/>
              </w:rPr>
            </w:pPr>
            <w:r>
              <w:rPr>
                <w:rFonts w:ascii="Times New Roman" w:eastAsia="Times New Roman" w:hAnsi="Times New Roman" w:cs="Times New Roman"/>
                <w:b/>
                <w:sz w:val="24"/>
                <w:szCs w:val="24"/>
              </w:rPr>
              <w:t>Hsiao</w:t>
            </w:r>
            <w:r w:rsidR="00C862A5" w:rsidRPr="00D6684E">
              <w:rPr>
                <w:rFonts w:ascii="Times New Roman" w:eastAsia="Times New Roman" w:hAnsi="Times New Roman" w:cs="Times New Roman"/>
                <w:b/>
                <w:sz w:val="24"/>
                <w:szCs w:val="24"/>
              </w:rPr>
              <w:t xml:space="preserve"> ‘</w:t>
            </w:r>
            <w:r w:rsidR="0004605E">
              <w:rPr>
                <w:rFonts w:ascii="Times New Roman" w:eastAsia="Times New Roman" w:hAnsi="Times New Roman" w:cs="Times New Roman"/>
                <w:b/>
                <w:sz w:val="24"/>
                <w:szCs w:val="24"/>
              </w:rPr>
              <w:t>309</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04605E" w:rsidP="002A0BF3">
            <w:pPr>
              <w:contextualSpacing w:val="0"/>
              <w:rPr>
                <w:rFonts w:ascii="Times New Roman" w:hAnsi="Times New Roman" w:cs="Times New Roman"/>
                <w:b/>
                <w:sz w:val="24"/>
                <w:szCs w:val="24"/>
              </w:rPr>
            </w:pPr>
            <w:r>
              <w:rPr>
                <w:rFonts w:ascii="Times New Roman" w:hAnsi="Times New Roman" w:cs="Times New Roman"/>
                <w:b/>
                <w:sz w:val="24"/>
                <w:szCs w:val="24"/>
              </w:rPr>
              <w:t>August 29, 2013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highlight w:val="yellow"/>
              </w:rPr>
            </w:pPr>
            <w:r w:rsidRPr="00D6684E">
              <w:rPr>
                <w:rFonts w:ascii="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B84482" w:rsidP="002A0BF3">
            <w:pPr>
              <w:contextualSpacing w:val="0"/>
              <w:rPr>
                <w:rFonts w:ascii="Times New Roman" w:hAnsi="Times New Roman" w:cs="Times New Roman"/>
                <w:b/>
                <w:sz w:val="24"/>
                <w:szCs w:val="24"/>
              </w:rPr>
            </w:pPr>
            <w:r>
              <w:rPr>
                <w:rFonts w:ascii="Times New Roman" w:hAnsi="Times New Roman" w:cs="Times New Roman"/>
                <w:b/>
                <w:sz w:val="24"/>
                <w:szCs w:val="24"/>
              </w:rPr>
              <w:t>February 23, 2012</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AB2D74" w:rsidP="00AB2D74">
            <w:pPr>
              <w:contextualSpacing w:val="0"/>
              <w:rPr>
                <w:rFonts w:ascii="Times New Roman" w:hAnsi="Times New Roman" w:cs="Times New Roman"/>
                <w:sz w:val="24"/>
                <w:szCs w:val="24"/>
              </w:rPr>
            </w:pPr>
            <w:r>
              <w:rPr>
                <w:rFonts w:ascii="Times New Roman" w:eastAsia="Times New Roman" w:hAnsi="Times New Roman" w:cs="Times New Roman"/>
                <w:b/>
                <w:sz w:val="24"/>
                <w:szCs w:val="24"/>
              </w:rPr>
              <w:t>Maeda</w:t>
            </w:r>
            <w:r w:rsidR="00C862A5" w:rsidRPr="00D6684E">
              <w:rPr>
                <w:rFonts w:ascii="Times New Roman" w:eastAsia="Times New Roman" w:hAnsi="Times New Roman" w:cs="Times New Roman"/>
                <w:b/>
                <w:sz w:val="24"/>
                <w:szCs w:val="24"/>
              </w:rPr>
              <w:t xml:space="preserve"> ‘</w:t>
            </w:r>
            <w:r w:rsidR="00BD45EC">
              <w:rPr>
                <w:rFonts w:ascii="Times New Roman" w:eastAsia="Times New Roman" w:hAnsi="Times New Roman" w:cs="Times New Roman"/>
                <w:b/>
                <w:sz w:val="24"/>
                <w:szCs w:val="24"/>
              </w:rPr>
              <w:t>414</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F00A3F" w:rsidP="002A0BF3">
            <w:pPr>
              <w:contextualSpacing w:val="0"/>
              <w:rPr>
                <w:rFonts w:ascii="Times New Roman" w:hAnsi="Times New Roman" w:cs="Times New Roman"/>
                <w:b/>
                <w:sz w:val="24"/>
                <w:szCs w:val="24"/>
              </w:rPr>
            </w:pPr>
            <w:r>
              <w:rPr>
                <w:rFonts w:ascii="Times New Roman" w:hAnsi="Times New Roman" w:cs="Times New Roman"/>
                <w:b/>
                <w:sz w:val="24"/>
                <w:szCs w:val="24"/>
              </w:rPr>
              <w:t>July 16, 2009</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highlight w:val="yellow"/>
              </w:rPr>
            </w:pPr>
            <w:r w:rsidRPr="00D6684E">
              <w:rPr>
                <w:rFonts w:ascii="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8D57B7" w:rsidP="009804AF">
            <w:pPr>
              <w:contextualSpacing w:val="0"/>
              <w:rPr>
                <w:rFonts w:ascii="Times New Roman" w:hAnsi="Times New Roman" w:cs="Times New Roman"/>
                <w:b/>
                <w:sz w:val="24"/>
                <w:szCs w:val="24"/>
              </w:rPr>
            </w:pPr>
            <w:r>
              <w:rPr>
                <w:rFonts w:ascii="Times New Roman" w:hAnsi="Times New Roman" w:cs="Times New Roman"/>
                <w:b/>
                <w:sz w:val="24"/>
                <w:szCs w:val="24"/>
              </w:rPr>
              <w:t xml:space="preserve">June </w:t>
            </w:r>
            <w:r w:rsidR="009804AF">
              <w:rPr>
                <w:rFonts w:ascii="Times New Roman" w:hAnsi="Times New Roman" w:cs="Times New Roman"/>
                <w:b/>
                <w:sz w:val="24"/>
                <w:szCs w:val="24"/>
              </w:rPr>
              <w:t>0</w:t>
            </w:r>
            <w:r>
              <w:rPr>
                <w:rFonts w:ascii="Times New Roman" w:hAnsi="Times New Roman" w:cs="Times New Roman"/>
                <w:b/>
                <w:sz w:val="24"/>
                <w:szCs w:val="24"/>
              </w:rPr>
              <w:t>6,</w:t>
            </w:r>
            <w:r w:rsidR="009804AF">
              <w:rPr>
                <w:rFonts w:ascii="Times New Roman" w:hAnsi="Times New Roman" w:cs="Times New Roman"/>
                <w:b/>
                <w:sz w:val="24"/>
                <w:szCs w:val="24"/>
              </w:rPr>
              <w:t xml:space="preserve"> 2006</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AB2D74" w:rsidP="00AB2D74">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Donthi</w:t>
            </w:r>
            <w:r w:rsidR="00C862A5" w:rsidRPr="00D6684E">
              <w:rPr>
                <w:rFonts w:ascii="Times New Roman" w:eastAsia="Times New Roman" w:hAnsi="Times New Roman" w:cs="Times New Roman"/>
                <w:b/>
                <w:sz w:val="24"/>
                <w:szCs w:val="24"/>
              </w:rPr>
              <w:t xml:space="preserve"> ‘</w:t>
            </w:r>
            <w:r w:rsidR="00BD45EC">
              <w:rPr>
                <w:rFonts w:ascii="Times New Roman" w:eastAsia="Times New Roman" w:hAnsi="Times New Roman" w:cs="Times New Roman"/>
                <w:b/>
                <w:sz w:val="24"/>
                <w:szCs w:val="24"/>
              </w:rPr>
              <w:t>007</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EF3DE9" w:rsidP="002A0BF3">
            <w:pPr>
              <w:contextualSpacing w:val="0"/>
              <w:rPr>
                <w:rFonts w:ascii="Times New Roman" w:hAnsi="Times New Roman" w:cs="Times New Roman"/>
                <w:b/>
                <w:sz w:val="24"/>
                <w:szCs w:val="24"/>
              </w:rPr>
            </w:pPr>
            <w:r>
              <w:rPr>
                <w:rFonts w:ascii="Times New Roman" w:hAnsi="Times New Roman" w:cs="Times New Roman"/>
                <w:b/>
                <w:sz w:val="24"/>
                <w:szCs w:val="24"/>
              </w:rPr>
              <w:t>June 12, 2014</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b/>
                <w:sz w:val="24"/>
                <w:szCs w:val="24"/>
              </w:rPr>
            </w:pPr>
            <w:r w:rsidRPr="00D6684E">
              <w:rPr>
                <w:rFonts w:ascii="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755C54" w:rsidP="002A0BF3">
            <w:pPr>
              <w:contextualSpacing w:val="0"/>
              <w:rPr>
                <w:rFonts w:ascii="Times New Roman" w:hAnsi="Times New Roman" w:cs="Times New Roman"/>
                <w:b/>
                <w:sz w:val="24"/>
                <w:szCs w:val="24"/>
              </w:rPr>
            </w:pPr>
            <w:r>
              <w:rPr>
                <w:rFonts w:ascii="Times New Roman" w:hAnsi="Times New Roman" w:cs="Times New Roman"/>
                <w:b/>
                <w:sz w:val="24"/>
                <w:szCs w:val="24"/>
              </w:rPr>
              <w:t>December 10, 2012</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5429" w:type="dxa"/>
            <w:gridSpan w:val="3"/>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jc w:val="center"/>
              <w:rPr>
                <w:rFonts w:ascii="Times New Roman" w:hAnsi="Times New Roman" w:cs="Times New Roman"/>
                <w:sz w:val="24"/>
                <w:szCs w:val="24"/>
              </w:rPr>
            </w:pPr>
            <w:r w:rsidRPr="00D6684E">
              <w:rPr>
                <w:rFonts w:ascii="Times New Roman" w:eastAsia="Times New Roman" w:hAnsi="Times New Roman" w:cs="Times New Roman"/>
                <w:b/>
                <w:sz w:val="24"/>
                <w:szCs w:val="24"/>
              </w:rPr>
              <w:t>Prior Art Status Verification</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274"/>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Claim Group</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Reference</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Common Assignee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Common Inventors</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Prior Art</w:t>
            </w: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Statute or Exception</w:t>
            </w:r>
          </w:p>
        </w:tc>
      </w:tr>
      <w:tr w:rsidR="00C862A5" w:rsidRPr="00D6684E" w:rsidTr="0064229E">
        <w:trPr>
          <w:trHeight w:val="50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AB3792">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 1-</w:t>
            </w:r>
            <w:r w:rsidR="00AB3792">
              <w:rPr>
                <w:rFonts w:ascii="Times New Roman" w:eastAsia="Times New Roman" w:hAnsi="Times New Roman" w:cs="Times New Roman"/>
                <w:b/>
                <w:sz w:val="24"/>
                <w:szCs w:val="24"/>
              </w:rPr>
              <w:t>23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E72CEF" w:rsidP="002A0BF3">
            <w:pPr>
              <w:contextualSpacing w:val="0"/>
              <w:rPr>
                <w:rFonts w:ascii="Times New Roman" w:hAnsi="Times New Roman" w:cs="Times New Roman"/>
                <w:sz w:val="24"/>
                <w:szCs w:val="24"/>
              </w:rPr>
            </w:pPr>
            <w:r>
              <w:rPr>
                <w:rFonts w:ascii="Times New Roman" w:eastAsia="Times New Roman" w:hAnsi="Times New Roman" w:cs="Times New Roman"/>
                <w:b/>
                <w:sz w:val="24"/>
                <w:szCs w:val="24"/>
              </w:rPr>
              <w:t>Hsiao</w:t>
            </w:r>
            <w:r w:rsidRPr="00D668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309</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Y</w:t>
            </w: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330DC0" w:rsidRDefault="005D75D5" w:rsidP="005E46A0">
            <w:pPr>
              <w:contextualSpacing w:val="0"/>
              <w:rPr>
                <w:rFonts w:ascii="Times New Roman" w:hAnsi="Times New Roman" w:cs="Times New Roman"/>
                <w:b/>
                <w:sz w:val="24"/>
                <w:szCs w:val="24"/>
              </w:rPr>
            </w:pPr>
            <w:r w:rsidRPr="00330DC0">
              <w:rPr>
                <w:rFonts w:ascii="Times New Roman" w:hAnsi="Times New Roman" w:cs="Times New Roman"/>
                <w:b/>
                <w:sz w:val="24"/>
                <w:szCs w:val="24"/>
              </w:rPr>
              <w:t>103(a)</w:t>
            </w:r>
            <w:r w:rsidR="00990EDA">
              <w:rPr>
                <w:rFonts w:ascii="Times New Roman" w:hAnsi="Times New Roman" w:cs="Times New Roman"/>
                <w:b/>
                <w:sz w:val="24"/>
                <w:szCs w:val="24"/>
              </w:rPr>
              <w:t>, 102(a)(2)</w:t>
            </w:r>
          </w:p>
        </w:tc>
      </w:tr>
      <w:tr w:rsidR="00C862A5" w:rsidRPr="00D6684E" w:rsidTr="0064229E">
        <w:trPr>
          <w:trHeight w:val="137"/>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AB3792"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A: 1-</w:t>
            </w:r>
            <w:r>
              <w:rPr>
                <w:rFonts w:ascii="Times New Roman" w:eastAsia="Times New Roman" w:hAnsi="Times New Roman" w:cs="Times New Roman"/>
                <w:b/>
                <w:sz w:val="24"/>
                <w:szCs w:val="24"/>
              </w:rPr>
              <w:t>23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E72CEF" w:rsidP="002A0BF3">
            <w:pPr>
              <w:contextualSpacing w:val="0"/>
              <w:rPr>
                <w:rFonts w:ascii="Times New Roman" w:hAnsi="Times New Roman" w:cs="Times New Roman"/>
                <w:sz w:val="24"/>
                <w:szCs w:val="24"/>
              </w:rPr>
            </w:pPr>
            <w:r>
              <w:rPr>
                <w:rFonts w:ascii="Times New Roman" w:eastAsia="Times New Roman" w:hAnsi="Times New Roman" w:cs="Times New Roman"/>
                <w:b/>
                <w:sz w:val="24"/>
                <w:szCs w:val="24"/>
              </w:rPr>
              <w:t>Maeda</w:t>
            </w:r>
            <w:r w:rsidRPr="00D668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414</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E72CEF"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None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Y</w:t>
            </w: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330DC0" w:rsidRDefault="00330DC0" w:rsidP="00990EDA">
            <w:pPr>
              <w:contextualSpacing w:val="0"/>
              <w:rPr>
                <w:rFonts w:ascii="Times New Roman" w:hAnsi="Times New Roman" w:cs="Times New Roman"/>
                <w:b/>
                <w:sz w:val="24"/>
                <w:szCs w:val="24"/>
              </w:rPr>
            </w:pPr>
            <w:r w:rsidRPr="00330DC0">
              <w:rPr>
                <w:rFonts w:ascii="Times New Roman" w:hAnsi="Times New Roman" w:cs="Times New Roman"/>
                <w:b/>
                <w:sz w:val="24"/>
                <w:szCs w:val="24"/>
              </w:rPr>
              <w:t>103(a)</w:t>
            </w:r>
            <w:r w:rsidR="00990EDA">
              <w:rPr>
                <w:rFonts w:ascii="Times New Roman" w:hAnsi="Times New Roman" w:cs="Times New Roman"/>
                <w:b/>
                <w:sz w:val="24"/>
                <w:szCs w:val="24"/>
              </w:rPr>
              <w:t>, 102(a)(1)</w:t>
            </w: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AB3792" w:rsidP="002A0BF3">
            <w:pPr>
              <w:contextualSpacing w:val="0"/>
              <w:rPr>
                <w:rFonts w:ascii="Times New Roman" w:eastAsia="Times New Roman" w:hAnsi="Times New Roman" w:cs="Times New Roman"/>
                <w:b/>
                <w:sz w:val="24"/>
                <w:szCs w:val="24"/>
              </w:rPr>
            </w:pPr>
            <w:r w:rsidRPr="00D6684E">
              <w:rPr>
                <w:rFonts w:ascii="Times New Roman" w:eastAsia="Times New Roman" w:hAnsi="Times New Roman" w:cs="Times New Roman"/>
                <w:b/>
                <w:sz w:val="24"/>
                <w:szCs w:val="24"/>
              </w:rPr>
              <w:t>A: 1-</w:t>
            </w:r>
            <w:r>
              <w:rPr>
                <w:rFonts w:ascii="Times New Roman" w:eastAsia="Times New Roman" w:hAnsi="Times New Roman" w:cs="Times New Roman"/>
                <w:b/>
                <w:sz w:val="24"/>
                <w:szCs w:val="24"/>
              </w:rPr>
              <w:t>23</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E72CEF" w:rsidP="002A0BF3">
            <w:pPr>
              <w:contextualSpacing w:val="0"/>
              <w:rPr>
                <w:rFonts w:ascii="Times New Roman" w:hAnsi="Times New Roman" w:cs="Times New Roman"/>
                <w:sz w:val="24"/>
                <w:szCs w:val="24"/>
              </w:rPr>
            </w:pPr>
            <w:r>
              <w:rPr>
                <w:rFonts w:ascii="Times New Roman" w:eastAsia="Times New Roman" w:hAnsi="Times New Roman" w:cs="Times New Roman"/>
                <w:b/>
                <w:sz w:val="24"/>
                <w:szCs w:val="24"/>
              </w:rPr>
              <w:t>Donthi</w:t>
            </w:r>
            <w:r w:rsidRPr="00D668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007</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eastAsia="Times New Roman" w:hAnsi="Times New Roman" w:cs="Times New Roman"/>
                <w:b/>
                <w:sz w:val="24"/>
                <w:szCs w:val="24"/>
              </w:rPr>
            </w:pPr>
            <w:r w:rsidRPr="00D6684E">
              <w:rPr>
                <w:rFonts w:ascii="Times New Roman" w:eastAsia="Times New Roman" w:hAnsi="Times New Roman" w:cs="Times New Roman"/>
                <w:b/>
                <w:sz w:val="24"/>
                <w:szCs w:val="24"/>
              </w:rPr>
              <w:t>None</w:t>
            </w: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eastAsia="Times New Roman" w:hAnsi="Times New Roman" w:cs="Times New Roman"/>
                <w:b/>
                <w:sz w:val="24"/>
                <w:szCs w:val="24"/>
              </w:rPr>
            </w:pPr>
            <w:r w:rsidRPr="00D6684E">
              <w:rPr>
                <w:rFonts w:ascii="Times New Roman" w:eastAsia="Times New Roman" w:hAnsi="Times New Roman" w:cs="Times New Roman"/>
                <w:b/>
                <w:sz w:val="24"/>
                <w:szCs w:val="24"/>
              </w:rPr>
              <w:t>None</w:t>
            </w: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Y</w:t>
            </w: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330DC0" w:rsidRDefault="001F2DBE" w:rsidP="002A0BF3">
            <w:pPr>
              <w:contextualSpacing w:val="0"/>
              <w:rPr>
                <w:rFonts w:ascii="Times New Roman" w:hAnsi="Times New Roman" w:cs="Times New Roman"/>
                <w:b/>
                <w:sz w:val="24"/>
                <w:szCs w:val="24"/>
              </w:rPr>
            </w:pPr>
            <w:r w:rsidRPr="00330DC0">
              <w:rPr>
                <w:rFonts w:ascii="Times New Roman" w:hAnsi="Times New Roman" w:cs="Times New Roman"/>
                <w:b/>
                <w:sz w:val="24"/>
                <w:szCs w:val="24"/>
              </w:rPr>
              <w:t>103(a)</w:t>
            </w:r>
            <w:r w:rsidR="00990EDA">
              <w:rPr>
                <w:rFonts w:ascii="Times New Roman" w:hAnsi="Times New Roman" w:cs="Times New Roman"/>
                <w:b/>
                <w:sz w:val="24"/>
                <w:szCs w:val="24"/>
              </w:rPr>
              <w:t>, 102(a)(2)</w:t>
            </w:r>
          </w:p>
        </w:tc>
      </w:tr>
      <w:tr w:rsidR="00C862A5" w:rsidRPr="00D6684E" w:rsidTr="0064229E">
        <w:trPr>
          <w:trHeight w:val="153"/>
        </w:trPr>
        <w:tc>
          <w:tcPr>
            <w:tcW w:w="1921"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r w:rsidRPr="00D6684E">
              <w:rPr>
                <w:rFonts w:ascii="Times New Roman" w:eastAsia="Times New Roman" w:hAnsi="Times New Roman" w:cs="Times New Roman"/>
                <w:b/>
                <w:sz w:val="24"/>
                <w:szCs w:val="24"/>
              </w:rPr>
              <w:t>Notes:</w:t>
            </w: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787"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855"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152"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c>
          <w:tcPr>
            <w:tcW w:w="1528" w:type="dxa"/>
            <w:tcBorders>
              <w:bottom w:val="single" w:sz="6" w:space="0" w:color="000000"/>
              <w:right w:val="single" w:sz="6" w:space="0" w:color="000000"/>
            </w:tcBorders>
            <w:tcMar>
              <w:top w:w="40" w:type="dxa"/>
              <w:left w:w="40" w:type="dxa"/>
              <w:bottom w:w="40" w:type="dxa"/>
              <w:right w:w="40" w:type="dxa"/>
            </w:tcMar>
            <w:vAlign w:val="bottom"/>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317"/>
        </w:trPr>
        <w:tc>
          <w:tcPr>
            <w:tcW w:w="10030" w:type="dxa"/>
            <w:gridSpan w:val="6"/>
            <w:vMerge w:val="restart"/>
            <w:tcBorders>
              <w:left w:val="single" w:sz="6" w:space="0" w:color="000000"/>
              <w:bottom w:val="single" w:sz="6" w:space="0" w:color="000000"/>
              <w:right w:val="single" w:sz="6" w:space="0" w:color="000000"/>
            </w:tcBorders>
            <w:tcMar>
              <w:top w:w="40" w:type="dxa"/>
              <w:left w:w="40" w:type="dxa"/>
              <w:bottom w:w="40" w:type="dxa"/>
              <w:right w:w="40" w:type="dxa"/>
            </w:tcMar>
          </w:tcPr>
          <w:p w:rsidR="00C862A5" w:rsidRPr="00D6684E" w:rsidRDefault="00C862A5" w:rsidP="002A0BF3">
            <w:pPr>
              <w:pStyle w:val="ListParagraph"/>
              <w:contextualSpacing w:val="0"/>
              <w:rPr>
                <w:rFonts w:ascii="Times New Roman" w:hAnsi="Times New Roman" w:cs="Times New Roman"/>
                <w:b/>
                <w:sz w:val="24"/>
                <w:szCs w:val="24"/>
              </w:rPr>
            </w:pPr>
            <w:r w:rsidRPr="00D6684E">
              <w:rPr>
                <w:rFonts w:ascii="Times New Roman" w:hAnsi="Times New Roman" w:cs="Times New Roman"/>
                <w:b/>
                <w:sz w:val="24"/>
                <w:szCs w:val="24"/>
              </w:rPr>
              <w:t xml:space="preserve">*No additional priority claimed </w:t>
            </w:r>
          </w:p>
        </w:tc>
      </w:tr>
      <w:tr w:rsidR="00C862A5" w:rsidRPr="00D6684E" w:rsidTr="0064229E">
        <w:trPr>
          <w:trHeight w:val="317"/>
        </w:trPr>
        <w:tc>
          <w:tcPr>
            <w:tcW w:w="10030"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317"/>
        </w:trPr>
        <w:tc>
          <w:tcPr>
            <w:tcW w:w="10030"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317"/>
        </w:trPr>
        <w:tc>
          <w:tcPr>
            <w:tcW w:w="10030"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r w:rsidR="00C862A5" w:rsidRPr="00D6684E" w:rsidTr="0064229E">
        <w:trPr>
          <w:trHeight w:val="317"/>
        </w:trPr>
        <w:tc>
          <w:tcPr>
            <w:tcW w:w="10030" w:type="dxa"/>
            <w:gridSpan w:val="6"/>
            <w:vMerge/>
            <w:tcMar>
              <w:top w:w="100" w:type="dxa"/>
              <w:left w:w="100" w:type="dxa"/>
              <w:bottom w:w="100" w:type="dxa"/>
              <w:right w:w="100" w:type="dxa"/>
            </w:tcMar>
          </w:tcPr>
          <w:p w:rsidR="00C862A5" w:rsidRPr="00D6684E" w:rsidRDefault="00C862A5" w:rsidP="002A0BF3">
            <w:pPr>
              <w:contextualSpacing w:val="0"/>
              <w:rPr>
                <w:rFonts w:ascii="Times New Roman" w:hAnsi="Times New Roman" w:cs="Times New Roman"/>
                <w:sz w:val="24"/>
                <w:szCs w:val="24"/>
              </w:rPr>
            </w:pPr>
          </w:p>
        </w:tc>
      </w:tr>
    </w:tbl>
    <w:p w:rsidR="00C862A5" w:rsidRPr="004F7D65" w:rsidRDefault="00C862A5" w:rsidP="00C862A5">
      <w:pPr>
        <w:contextualSpacing w:val="0"/>
        <w:rPr>
          <w:rFonts w:ascii="Times New Roman" w:eastAsia="Times New Roman" w:hAnsi="Times New Roman" w:cs="Times New Roman"/>
          <w:sz w:val="24"/>
          <w:szCs w:val="24"/>
        </w:rPr>
      </w:pPr>
    </w:p>
    <w:p w:rsidR="00C862A5" w:rsidRDefault="00C862A5" w:rsidP="00C862A5">
      <w:pPr>
        <w:contextualSpacing w:val="0"/>
        <w:rPr>
          <w:rFonts w:ascii="Times New Roman" w:eastAsia="Times New Roman" w:hAnsi="Times New Roman" w:cs="Times New Roman"/>
          <w:sz w:val="24"/>
          <w:szCs w:val="24"/>
        </w:rPr>
      </w:pPr>
    </w:p>
    <w:p w:rsidR="00481BAC" w:rsidRPr="004F7D65" w:rsidRDefault="00481BAC" w:rsidP="00C862A5">
      <w:pPr>
        <w:contextualSpacing w:val="0"/>
        <w:rPr>
          <w:rFonts w:ascii="Times New Roman" w:eastAsia="Times New Roman" w:hAnsi="Times New Roman" w:cs="Times New Roman"/>
          <w:sz w:val="24"/>
          <w:szCs w:val="24"/>
        </w:rPr>
      </w:pPr>
    </w:p>
    <w:p w:rsidR="00AA5C3A" w:rsidRPr="004F7D65" w:rsidRDefault="00AA5C3A" w:rsidP="00AA5C3A">
      <w:pPr>
        <w:contextualSpacing w:val="0"/>
        <w:jc w:val="center"/>
        <w:rPr>
          <w:rFonts w:ascii="Times New Roman" w:hAnsi="Times New Roman" w:cs="Times New Roman"/>
        </w:rPr>
      </w:pPr>
      <w:r w:rsidRPr="004F7D65">
        <w:rPr>
          <w:rFonts w:ascii="Times New Roman" w:eastAsia="Times New Roman" w:hAnsi="Times New Roman" w:cs="Times New Roman"/>
          <w:b/>
          <w:sz w:val="28"/>
          <w:szCs w:val="28"/>
        </w:rPr>
        <w:t>Proposed Response to Each Rejection/Objection</w:t>
      </w:r>
    </w:p>
    <w:p w:rsidR="00AA5C3A" w:rsidRPr="004F7D65" w:rsidRDefault="00AA5C3A" w:rsidP="00AA5C3A">
      <w:pPr>
        <w:contextualSpacing w:val="0"/>
        <w:rPr>
          <w:rFonts w:ascii="Times New Roman" w:hAnsi="Times New Roman" w:cs="Times New Roman"/>
        </w:rPr>
      </w:pPr>
    </w:p>
    <w:p w:rsidR="00AA5C3A" w:rsidRPr="00AA5C3A" w:rsidRDefault="00AA5C3A" w:rsidP="00AA5C3A">
      <w:pPr>
        <w:numPr>
          <w:ilvl w:val="0"/>
          <w:numId w:val="1"/>
        </w:numPr>
        <w:ind w:hanging="360"/>
        <w:rPr>
          <w:rFonts w:ascii="Times New Roman" w:hAnsi="Times New Roman" w:cs="Times New Roman"/>
          <w:b/>
          <w:sz w:val="24"/>
          <w:szCs w:val="24"/>
        </w:rPr>
      </w:pPr>
      <w:r w:rsidRPr="00AA5C3A">
        <w:rPr>
          <w:rFonts w:ascii="Times New Roman" w:hAnsi="Times New Roman" w:cs="Times New Roman"/>
          <w:b/>
          <w:sz w:val="24"/>
          <w:szCs w:val="24"/>
        </w:rPr>
        <w:t>101 Rejection of claims 1, 12 and 18</w:t>
      </w:r>
    </w:p>
    <w:p w:rsidR="00AA5C3A" w:rsidRDefault="00AA5C3A" w:rsidP="00AA5C3A">
      <w:pPr>
        <w:ind w:left="720"/>
        <w:rPr>
          <w:rFonts w:ascii="Times New Roman" w:hAnsi="Times New Roman" w:cs="Times New Roman"/>
          <w:sz w:val="24"/>
          <w:szCs w:val="24"/>
        </w:rPr>
      </w:pPr>
      <w:r w:rsidRPr="00C44343">
        <w:rPr>
          <w:rFonts w:ascii="Times New Roman" w:hAnsi="Times New Roman" w:cs="Times New Roman"/>
          <w:sz w:val="24"/>
          <w:szCs w:val="24"/>
        </w:rPr>
        <w:t>We propose preparing an Enfish arg</w:t>
      </w:r>
      <w:r>
        <w:rPr>
          <w:rFonts w:ascii="Times New Roman" w:hAnsi="Times New Roman" w:cs="Times New Roman"/>
          <w:sz w:val="24"/>
          <w:szCs w:val="24"/>
        </w:rPr>
        <w:t>ument to traverse the rejection. The argument will focus on explaining that the claims are related to an improvement in computer technology.</w:t>
      </w:r>
    </w:p>
    <w:p w:rsidR="00AA5C3A" w:rsidRDefault="00AA5C3A" w:rsidP="00AA5C3A">
      <w:pPr>
        <w:ind w:left="720"/>
        <w:rPr>
          <w:rFonts w:ascii="Times New Roman" w:hAnsi="Times New Roman" w:cs="Times New Roman"/>
          <w:sz w:val="24"/>
          <w:szCs w:val="24"/>
        </w:rPr>
      </w:pPr>
    </w:p>
    <w:p w:rsidR="00AA5C3A" w:rsidRPr="00AA5C3A" w:rsidRDefault="00AA5C3A" w:rsidP="00AA5C3A">
      <w:pPr>
        <w:numPr>
          <w:ilvl w:val="0"/>
          <w:numId w:val="1"/>
        </w:numPr>
        <w:ind w:hanging="360"/>
        <w:rPr>
          <w:rFonts w:ascii="Times New Roman" w:hAnsi="Times New Roman" w:cs="Times New Roman"/>
          <w:b/>
          <w:sz w:val="24"/>
          <w:szCs w:val="24"/>
        </w:rPr>
      </w:pPr>
      <w:r w:rsidRPr="00AA5C3A">
        <w:rPr>
          <w:rFonts w:ascii="Times New Roman" w:hAnsi="Times New Roman" w:cs="Times New Roman"/>
          <w:b/>
          <w:sz w:val="24"/>
          <w:szCs w:val="24"/>
        </w:rPr>
        <w:t>103 Rejection of claims 1-23, Strategy:</w:t>
      </w:r>
    </w:p>
    <w:p w:rsidR="00AA5C3A" w:rsidRDefault="00AA5C3A" w:rsidP="00AA5C3A">
      <w:pPr>
        <w:ind w:left="720"/>
        <w:rPr>
          <w:rFonts w:ascii="Times New Roman" w:hAnsi="Times New Roman" w:cs="Times New Roman"/>
          <w:sz w:val="24"/>
          <w:szCs w:val="24"/>
        </w:rPr>
      </w:pPr>
      <w:r>
        <w:rPr>
          <w:rFonts w:ascii="Times New Roman" w:hAnsi="Times New Roman" w:cs="Times New Roman"/>
          <w:sz w:val="24"/>
          <w:szCs w:val="24"/>
        </w:rPr>
        <w:t>We propose preparing an argument discussing the differences between the cited references and our claims.</w:t>
      </w:r>
    </w:p>
    <w:p w:rsidR="00AA5C3A" w:rsidRDefault="00AA5C3A" w:rsidP="00AA5C3A">
      <w:pPr>
        <w:ind w:left="720"/>
        <w:rPr>
          <w:rFonts w:ascii="Times New Roman" w:hAnsi="Times New Roman" w:cs="Times New Roman"/>
          <w:sz w:val="24"/>
          <w:szCs w:val="24"/>
        </w:rPr>
      </w:pPr>
    </w:p>
    <w:p w:rsidR="00AA5C3A" w:rsidRDefault="00AA5C3A" w:rsidP="00AA5C3A">
      <w:pPr>
        <w:ind w:left="720"/>
        <w:rPr>
          <w:rFonts w:ascii="Times New Roman" w:hAnsi="Times New Roman" w:cs="Times New Roman"/>
          <w:sz w:val="24"/>
          <w:szCs w:val="24"/>
        </w:rPr>
      </w:pPr>
      <w:r>
        <w:rPr>
          <w:rFonts w:ascii="Times New Roman" w:hAnsi="Times New Roman" w:cs="Times New Roman"/>
          <w:sz w:val="24"/>
          <w:szCs w:val="24"/>
        </w:rPr>
        <w:t>(a) In particular, we would argue the following clause of claim 1:</w:t>
      </w:r>
    </w:p>
    <w:p w:rsidR="00AA5C3A" w:rsidRPr="00DC09D1" w:rsidRDefault="00AA5C3A" w:rsidP="00AA5C3A">
      <w:pPr>
        <w:ind w:left="720"/>
        <w:rPr>
          <w:rFonts w:ascii="Times New Roman" w:hAnsi="Times New Roman" w:cs="Times New Roman"/>
          <w:sz w:val="24"/>
          <w:szCs w:val="24"/>
        </w:rPr>
      </w:pPr>
    </w:p>
    <w:p w:rsidR="00AA5C3A" w:rsidRPr="00DC09D1" w:rsidRDefault="00AA5C3A" w:rsidP="00AA5C3A">
      <w:pPr>
        <w:ind w:left="720"/>
        <w:rPr>
          <w:rFonts w:ascii="Times New Roman" w:hAnsi="Times New Roman" w:cs="Times New Roman"/>
          <w:sz w:val="24"/>
          <w:szCs w:val="24"/>
        </w:rPr>
      </w:pPr>
      <w:r w:rsidRPr="00DC09D1">
        <w:rPr>
          <w:rFonts w:ascii="Times New Roman" w:hAnsi="Times New Roman" w:cs="Times New Roman"/>
          <w:sz w:val="24"/>
          <w:szCs w:val="24"/>
        </w:rPr>
        <w:t>receive a buffer overflow message, from a serving gateway (S-GW), indicating a potential overflow at an S-GW buffer when downlink information that is stored at the S-GW buffer exceeds a predetermined threshold</w:t>
      </w:r>
    </w:p>
    <w:p w:rsidR="00AA5C3A" w:rsidRPr="00DC09D1" w:rsidRDefault="00AA5C3A" w:rsidP="00AA5C3A">
      <w:pPr>
        <w:ind w:left="720"/>
        <w:rPr>
          <w:rFonts w:ascii="Times New Roman" w:hAnsi="Times New Roman" w:cs="Times New Roman"/>
          <w:sz w:val="24"/>
          <w:szCs w:val="24"/>
        </w:rPr>
      </w:pPr>
    </w:p>
    <w:p w:rsidR="00AA5C3A" w:rsidRPr="00DC09D1" w:rsidRDefault="00AA5C3A" w:rsidP="00AA5C3A">
      <w:pPr>
        <w:ind w:left="720"/>
        <w:rPr>
          <w:rFonts w:ascii="Times New Roman" w:hAnsi="Times New Roman" w:cs="Times New Roman"/>
          <w:sz w:val="24"/>
          <w:szCs w:val="24"/>
        </w:rPr>
      </w:pPr>
      <w:r w:rsidRPr="00DC09D1">
        <w:rPr>
          <w:rFonts w:ascii="Times New Roman" w:hAnsi="Times New Roman" w:cs="Times New Roman"/>
          <w:sz w:val="24"/>
          <w:szCs w:val="24"/>
        </w:rPr>
        <w:t>The cited references Hsiao, Maeda and Donthi fail to teach or suggest receiving “a buffer overflow message, from a serving gateway (S-GW), indicating a potential overflow at an S-GW buffer when downlink information that is stored at the S-GW buffer exceeds a predetermined threshold,” as recited in claim 1.</w:t>
      </w:r>
    </w:p>
    <w:p w:rsidR="00AA5C3A" w:rsidRPr="00DC09D1" w:rsidRDefault="00AA5C3A" w:rsidP="00AA5C3A">
      <w:pPr>
        <w:ind w:left="720"/>
        <w:rPr>
          <w:rFonts w:ascii="Times New Roman" w:hAnsi="Times New Roman" w:cs="Times New Roman"/>
          <w:sz w:val="24"/>
          <w:szCs w:val="24"/>
        </w:rPr>
      </w:pPr>
    </w:p>
    <w:p w:rsidR="00AA5C3A" w:rsidRDefault="00AA5C3A" w:rsidP="00AA5C3A">
      <w:pPr>
        <w:ind w:left="720"/>
        <w:rPr>
          <w:rFonts w:ascii="Times New Roman" w:hAnsi="Times New Roman" w:cs="Times New Roman"/>
          <w:sz w:val="24"/>
          <w:szCs w:val="24"/>
        </w:rPr>
      </w:pPr>
      <w:r>
        <w:rPr>
          <w:rFonts w:ascii="Times New Roman" w:hAnsi="Times New Roman" w:cs="Times New Roman"/>
          <w:sz w:val="24"/>
          <w:szCs w:val="24"/>
        </w:rPr>
        <w:t>(b) Further, the cited references also do not teach or suggest, “</w:t>
      </w:r>
      <w:r w:rsidRPr="0070762B">
        <w:rPr>
          <w:rFonts w:ascii="Times New Roman" w:hAnsi="Times New Roman" w:cs="Times New Roman"/>
          <w:sz w:val="24"/>
          <w:szCs w:val="24"/>
        </w:rPr>
        <w:t>the buffer overflow message</w:t>
      </w:r>
      <w:r>
        <w:rPr>
          <w:rFonts w:ascii="Times New Roman" w:hAnsi="Times New Roman" w:cs="Times New Roman"/>
          <w:sz w:val="24"/>
          <w:szCs w:val="24"/>
        </w:rPr>
        <w:t>”</w:t>
      </w:r>
      <w:r w:rsidRPr="0070762B">
        <w:rPr>
          <w:rFonts w:ascii="Times New Roman" w:hAnsi="Times New Roman" w:cs="Times New Roman"/>
          <w:sz w:val="24"/>
          <w:szCs w:val="24"/>
        </w:rPr>
        <w:t xml:space="preserve"> instruct</w:t>
      </w:r>
      <w:r>
        <w:rPr>
          <w:rFonts w:ascii="Times New Roman" w:hAnsi="Times New Roman" w:cs="Times New Roman"/>
          <w:sz w:val="24"/>
          <w:szCs w:val="24"/>
        </w:rPr>
        <w:t>ing</w:t>
      </w:r>
      <w:r w:rsidRPr="0070762B">
        <w:rPr>
          <w:rFonts w:ascii="Times New Roman" w:hAnsi="Times New Roman" w:cs="Times New Roman"/>
          <w:sz w:val="24"/>
          <w:szCs w:val="24"/>
        </w:rPr>
        <w:t xml:space="preserve"> </w:t>
      </w:r>
      <w:r>
        <w:rPr>
          <w:rFonts w:ascii="Times New Roman" w:hAnsi="Times New Roman" w:cs="Times New Roman"/>
          <w:sz w:val="24"/>
          <w:szCs w:val="24"/>
        </w:rPr>
        <w:t>“</w:t>
      </w:r>
      <w:r w:rsidRPr="0070762B">
        <w:rPr>
          <w:rFonts w:ascii="Times New Roman" w:hAnsi="Times New Roman" w:cs="Times New Roman"/>
          <w:sz w:val="24"/>
          <w:szCs w:val="24"/>
        </w:rPr>
        <w:t>the eNB to modify DRX configurations</w:t>
      </w:r>
      <w:r>
        <w:rPr>
          <w:rFonts w:ascii="Times New Roman" w:hAnsi="Times New Roman" w:cs="Times New Roman"/>
          <w:sz w:val="24"/>
          <w:szCs w:val="24"/>
        </w:rPr>
        <w:t>,” as recited in claim 12.</w:t>
      </w:r>
    </w:p>
    <w:p w:rsidR="00AA5C3A" w:rsidRDefault="00AA5C3A" w:rsidP="00AA5C3A">
      <w:pPr>
        <w:ind w:left="720"/>
        <w:rPr>
          <w:rFonts w:ascii="Times New Roman" w:hAnsi="Times New Roman" w:cs="Times New Roman"/>
          <w:sz w:val="24"/>
          <w:szCs w:val="24"/>
        </w:rPr>
      </w:pPr>
    </w:p>
    <w:p w:rsidR="00AA5C3A" w:rsidRDefault="00AA5C3A" w:rsidP="00AA5C3A">
      <w:pPr>
        <w:ind w:left="720"/>
        <w:rPr>
          <w:rFonts w:ascii="Times New Roman" w:hAnsi="Times New Roman" w:cs="Times New Roman"/>
          <w:sz w:val="24"/>
          <w:szCs w:val="24"/>
        </w:rPr>
      </w:pPr>
      <w:r>
        <w:rPr>
          <w:rFonts w:ascii="Times New Roman" w:hAnsi="Times New Roman" w:cs="Times New Roman"/>
          <w:sz w:val="24"/>
          <w:szCs w:val="24"/>
        </w:rPr>
        <w:t>(c) The existing claim set has 23 claims, which is over the 20 claim limit. The claim set already has 3 independent claims. The claim set does not have a CRM claim. If the additional fee is fine, we would add a CRM claim to the claim set.</w:t>
      </w:r>
    </w:p>
    <w:p w:rsidR="00AA5C3A" w:rsidRDefault="00AA5C3A" w:rsidP="00AA5C3A">
      <w:pPr>
        <w:ind w:left="720"/>
        <w:rPr>
          <w:rFonts w:ascii="Times New Roman" w:hAnsi="Times New Roman" w:cs="Times New Roman"/>
          <w:sz w:val="24"/>
          <w:szCs w:val="24"/>
        </w:rPr>
      </w:pPr>
    </w:p>
    <w:p w:rsidR="00AA5C3A" w:rsidRDefault="00AA5C3A" w:rsidP="00AA5C3A">
      <w:pPr>
        <w:ind w:left="720"/>
        <w:rPr>
          <w:rFonts w:ascii="Times New Roman" w:hAnsi="Times New Roman" w:cs="Times New Roman"/>
          <w:sz w:val="24"/>
          <w:szCs w:val="24"/>
        </w:rPr>
      </w:pPr>
      <w:r w:rsidRPr="004F7D65">
        <w:rPr>
          <w:rFonts w:ascii="Times New Roman" w:hAnsi="Times New Roman" w:cs="Times New Roman"/>
          <w:sz w:val="24"/>
          <w:szCs w:val="24"/>
        </w:rPr>
        <w:t>Please let us know, in case you would like to r</w:t>
      </w:r>
      <w:r>
        <w:rPr>
          <w:rFonts w:ascii="Times New Roman" w:hAnsi="Times New Roman" w:cs="Times New Roman"/>
          <w:sz w:val="24"/>
          <w:szCs w:val="24"/>
        </w:rPr>
        <w:t xml:space="preserve">ecommend another 103 strategy. </w:t>
      </w:r>
    </w:p>
    <w:p w:rsidR="00D80410" w:rsidRDefault="00D80410" w:rsidP="00AA5C3A">
      <w:pPr>
        <w:ind w:left="720"/>
        <w:rPr>
          <w:rFonts w:ascii="Times New Roman" w:hAnsi="Times New Roman" w:cs="Times New Roman"/>
          <w:sz w:val="24"/>
          <w:szCs w:val="24"/>
        </w:rPr>
      </w:pPr>
    </w:p>
    <w:p w:rsidR="00D80410" w:rsidRDefault="00D80410" w:rsidP="00D80410">
      <w:pPr>
        <w:ind w:left="720"/>
        <w:rPr>
          <w:rFonts w:ascii="Times New Roman" w:hAnsi="Times New Roman" w:cs="Times New Roman"/>
          <w:sz w:val="24"/>
          <w:szCs w:val="24"/>
        </w:rPr>
      </w:pPr>
      <w:r>
        <w:rPr>
          <w:rFonts w:ascii="Times New Roman" w:hAnsi="Times New Roman" w:cs="Times New Roman"/>
          <w:sz w:val="24"/>
          <w:szCs w:val="24"/>
        </w:rPr>
        <w:t>3. Dependent claim preamble mismatch:</w:t>
      </w:r>
    </w:p>
    <w:p w:rsidR="00D80410" w:rsidRPr="00D80410" w:rsidRDefault="00D80410" w:rsidP="00D80410">
      <w:pPr>
        <w:ind w:left="720"/>
        <w:rPr>
          <w:rFonts w:ascii="Times New Roman" w:hAnsi="Times New Roman" w:cs="Times New Roman"/>
          <w:sz w:val="24"/>
          <w:szCs w:val="24"/>
        </w:rPr>
      </w:pPr>
      <w:r>
        <w:rPr>
          <w:rFonts w:ascii="Times New Roman" w:hAnsi="Times New Roman" w:cs="Times New Roman"/>
          <w:sz w:val="24"/>
          <w:szCs w:val="24"/>
        </w:rPr>
        <w:t xml:space="preserve">The preamble of </w:t>
      </w:r>
      <w:r w:rsidRPr="00D80410">
        <w:rPr>
          <w:rFonts w:ascii="Times New Roman" w:hAnsi="Times New Roman" w:cs="Times New Roman"/>
          <w:sz w:val="24"/>
          <w:szCs w:val="24"/>
        </w:rPr>
        <w:t>Claim 1 recites</w:t>
      </w:r>
      <w:r w:rsidR="008A0856">
        <w:rPr>
          <w:rFonts w:ascii="Times New Roman" w:hAnsi="Times New Roman" w:cs="Times New Roman"/>
          <w:sz w:val="24"/>
          <w:szCs w:val="24"/>
        </w:rPr>
        <w:t>, in the preamble,</w:t>
      </w:r>
      <w:r w:rsidRPr="00D80410">
        <w:rPr>
          <w:rFonts w:ascii="Times New Roman" w:hAnsi="Times New Roman" w:cs="Times New Roman"/>
          <w:sz w:val="24"/>
          <w:szCs w:val="24"/>
        </w:rPr>
        <w:t xml:space="preserve"> “A node…” whereas </w:t>
      </w:r>
      <w:r w:rsidR="008A0856">
        <w:rPr>
          <w:rFonts w:ascii="Times New Roman" w:hAnsi="Times New Roman" w:cs="Times New Roman"/>
          <w:sz w:val="24"/>
          <w:szCs w:val="24"/>
        </w:rPr>
        <w:t xml:space="preserve">dependent </w:t>
      </w:r>
      <w:r w:rsidRPr="00D80410">
        <w:rPr>
          <w:rFonts w:ascii="Times New Roman" w:hAnsi="Times New Roman" w:cs="Times New Roman"/>
          <w:sz w:val="24"/>
          <w:szCs w:val="24"/>
        </w:rPr>
        <w:t>claim 2</w:t>
      </w:r>
      <w:r w:rsidR="008A0856">
        <w:rPr>
          <w:rFonts w:ascii="Times New Roman" w:hAnsi="Times New Roman" w:cs="Times New Roman"/>
          <w:sz w:val="24"/>
          <w:szCs w:val="24"/>
        </w:rPr>
        <w:t xml:space="preserve">, in the preamble, </w:t>
      </w:r>
      <w:r w:rsidRPr="00D80410">
        <w:rPr>
          <w:rFonts w:ascii="Times New Roman" w:hAnsi="Times New Roman" w:cs="Times New Roman"/>
          <w:sz w:val="24"/>
          <w:szCs w:val="24"/>
        </w:rPr>
        <w:t>recites “The computer circuitry…”</w:t>
      </w:r>
    </w:p>
    <w:p w:rsidR="00D80410" w:rsidRDefault="00D80410" w:rsidP="00D80410">
      <w:pPr>
        <w:ind w:left="720"/>
        <w:rPr>
          <w:rFonts w:ascii="Times New Roman" w:hAnsi="Times New Roman" w:cs="Times New Roman"/>
          <w:sz w:val="24"/>
          <w:szCs w:val="24"/>
        </w:rPr>
      </w:pPr>
    </w:p>
    <w:p w:rsidR="00D80410" w:rsidRDefault="00B5200C" w:rsidP="00D80410">
      <w:pPr>
        <w:ind w:left="720"/>
        <w:rPr>
          <w:rFonts w:ascii="Times New Roman" w:hAnsi="Times New Roman" w:cs="Times New Roman"/>
          <w:sz w:val="24"/>
          <w:szCs w:val="24"/>
        </w:rPr>
      </w:pPr>
      <w:r>
        <w:rPr>
          <w:rFonts w:ascii="Times New Roman" w:hAnsi="Times New Roman" w:cs="Times New Roman"/>
          <w:sz w:val="24"/>
          <w:szCs w:val="24"/>
        </w:rPr>
        <w:t xml:space="preserve">Claim 12 and its dependents also have a similar use of the preamble. </w:t>
      </w:r>
      <w:r w:rsidR="00D80410" w:rsidRPr="00D80410">
        <w:rPr>
          <w:rFonts w:ascii="Times New Roman" w:hAnsi="Times New Roman" w:cs="Times New Roman"/>
          <w:sz w:val="24"/>
          <w:szCs w:val="24"/>
        </w:rPr>
        <w:t>Th</w:t>
      </w:r>
      <w:r>
        <w:rPr>
          <w:rFonts w:ascii="Times New Roman" w:hAnsi="Times New Roman" w:cs="Times New Roman"/>
          <w:sz w:val="24"/>
          <w:szCs w:val="24"/>
        </w:rPr>
        <w:t>e</w:t>
      </w:r>
      <w:r w:rsidR="00D80410" w:rsidRPr="00D80410">
        <w:rPr>
          <w:rFonts w:ascii="Times New Roman" w:hAnsi="Times New Roman" w:cs="Times New Roman"/>
          <w:sz w:val="24"/>
          <w:szCs w:val="24"/>
        </w:rPr>
        <w:t xml:space="preserve"> Examiner did</w:t>
      </w:r>
      <w:r>
        <w:rPr>
          <w:rFonts w:ascii="Times New Roman" w:hAnsi="Times New Roman" w:cs="Times New Roman"/>
          <w:sz w:val="24"/>
          <w:szCs w:val="24"/>
        </w:rPr>
        <w:t xml:space="preserve"> </w:t>
      </w:r>
      <w:r w:rsidR="00D80410" w:rsidRPr="00D80410">
        <w:rPr>
          <w:rFonts w:ascii="Times New Roman" w:hAnsi="Times New Roman" w:cs="Times New Roman"/>
          <w:sz w:val="24"/>
          <w:szCs w:val="24"/>
        </w:rPr>
        <w:t>n</w:t>
      </w:r>
      <w:r>
        <w:rPr>
          <w:rFonts w:ascii="Times New Roman" w:hAnsi="Times New Roman" w:cs="Times New Roman"/>
          <w:sz w:val="24"/>
          <w:szCs w:val="24"/>
        </w:rPr>
        <w:t>o</w:t>
      </w:r>
      <w:r w:rsidR="00D80410" w:rsidRPr="00D80410">
        <w:rPr>
          <w:rFonts w:ascii="Times New Roman" w:hAnsi="Times New Roman" w:cs="Times New Roman"/>
          <w:sz w:val="24"/>
          <w:szCs w:val="24"/>
        </w:rPr>
        <w:t>t object</w:t>
      </w:r>
      <w:r>
        <w:rPr>
          <w:rFonts w:ascii="Times New Roman" w:hAnsi="Times New Roman" w:cs="Times New Roman"/>
          <w:sz w:val="24"/>
          <w:szCs w:val="24"/>
        </w:rPr>
        <w:t xml:space="preserve"> to such use</w:t>
      </w:r>
      <w:r w:rsidR="00D80410" w:rsidRPr="00D80410">
        <w:rPr>
          <w:rFonts w:ascii="Times New Roman" w:hAnsi="Times New Roman" w:cs="Times New Roman"/>
          <w:sz w:val="24"/>
          <w:szCs w:val="24"/>
        </w:rPr>
        <w:t xml:space="preserve">.  </w:t>
      </w:r>
      <w:r>
        <w:rPr>
          <w:rFonts w:ascii="Times New Roman" w:hAnsi="Times New Roman" w:cs="Times New Roman"/>
          <w:sz w:val="24"/>
          <w:szCs w:val="24"/>
        </w:rPr>
        <w:t>Please let us know your style preference regarding the preamble</w:t>
      </w:r>
      <w:r w:rsidR="00D80410" w:rsidRPr="00D80410">
        <w:rPr>
          <w:rFonts w:ascii="Times New Roman" w:hAnsi="Times New Roman" w:cs="Times New Roman"/>
          <w:sz w:val="24"/>
          <w:szCs w:val="24"/>
        </w:rPr>
        <w:t>.</w:t>
      </w:r>
    </w:p>
    <w:p w:rsidR="006223C7" w:rsidRDefault="006223C7" w:rsidP="00D80410">
      <w:pPr>
        <w:ind w:left="720"/>
        <w:rPr>
          <w:rFonts w:ascii="Times New Roman" w:hAnsi="Times New Roman" w:cs="Times New Roman"/>
          <w:sz w:val="24"/>
          <w:szCs w:val="24"/>
        </w:rPr>
      </w:pPr>
    </w:p>
    <w:p w:rsidR="006223C7" w:rsidRDefault="006223C7" w:rsidP="00D80410">
      <w:pPr>
        <w:ind w:left="720"/>
        <w:rPr>
          <w:rFonts w:ascii="Times New Roman" w:hAnsi="Times New Roman" w:cs="Times New Roman"/>
          <w:sz w:val="24"/>
          <w:szCs w:val="24"/>
        </w:rPr>
      </w:pPr>
      <w:r>
        <w:rPr>
          <w:rFonts w:ascii="Times New Roman" w:hAnsi="Times New Roman" w:cs="Times New Roman"/>
          <w:sz w:val="24"/>
          <w:szCs w:val="24"/>
        </w:rPr>
        <w:t>4. Before filing the response we can request</w:t>
      </w:r>
      <w:r w:rsidR="007B43D9">
        <w:rPr>
          <w:rFonts w:ascii="Times New Roman" w:hAnsi="Times New Roman" w:cs="Times New Roman"/>
          <w:sz w:val="24"/>
          <w:szCs w:val="24"/>
        </w:rPr>
        <w:t xml:space="preserve"> an Interview with the Examiner and modify the response based on the Examiner’s inputs.</w:t>
      </w:r>
    </w:p>
    <w:p w:rsidR="00AA5C3A" w:rsidRPr="002D310B" w:rsidRDefault="00AA5C3A" w:rsidP="00AA5C3A">
      <w:pPr>
        <w:ind w:left="720"/>
        <w:rPr>
          <w:rFonts w:ascii="Times New Roman" w:hAnsi="Times New Roman" w:cs="Times New Roman"/>
          <w:b/>
          <w:sz w:val="24"/>
          <w:szCs w:val="24"/>
        </w:rPr>
      </w:pPr>
      <w:r w:rsidRPr="002D310B">
        <w:rPr>
          <w:rFonts w:ascii="Times New Roman" w:hAnsi="Times New Roman" w:cs="Times New Roman"/>
          <w:b/>
          <w:sz w:val="24"/>
          <w:szCs w:val="24"/>
        </w:rPr>
        <w:t>Other strategies:</w:t>
      </w:r>
    </w:p>
    <w:p w:rsidR="00AA5C3A" w:rsidRDefault="00AA5C3A" w:rsidP="00AA5C3A">
      <w:pPr>
        <w:ind w:left="720"/>
        <w:rPr>
          <w:rFonts w:ascii="Times New Roman" w:hAnsi="Times New Roman" w:cs="Times New Roman"/>
          <w:sz w:val="24"/>
          <w:szCs w:val="24"/>
        </w:rPr>
      </w:pPr>
    </w:p>
    <w:p w:rsidR="00AA5C3A" w:rsidRDefault="00A80625" w:rsidP="00AA5C3A">
      <w:pPr>
        <w:ind w:left="720"/>
        <w:rPr>
          <w:rFonts w:ascii="Times New Roman" w:hAnsi="Times New Roman" w:cs="Times New Roman"/>
          <w:sz w:val="24"/>
          <w:szCs w:val="24"/>
        </w:rPr>
      </w:pPr>
      <w:r>
        <w:rPr>
          <w:rFonts w:ascii="Times New Roman" w:hAnsi="Times New Roman" w:cs="Times New Roman"/>
          <w:sz w:val="24"/>
          <w:szCs w:val="24"/>
        </w:rPr>
        <w:t xml:space="preserve">1. </w:t>
      </w:r>
      <w:r w:rsidR="00AA5C3A">
        <w:rPr>
          <w:rFonts w:ascii="Times New Roman" w:hAnsi="Times New Roman" w:cs="Times New Roman"/>
          <w:sz w:val="24"/>
          <w:szCs w:val="24"/>
        </w:rPr>
        <w:t xml:space="preserve">We can also </w:t>
      </w:r>
      <w:r w:rsidR="00AA5C3A" w:rsidRPr="00774303">
        <w:rPr>
          <w:rFonts w:ascii="Times New Roman" w:hAnsi="Times New Roman" w:cs="Times New Roman"/>
          <w:b/>
          <w:sz w:val="24"/>
          <w:szCs w:val="24"/>
        </w:rPr>
        <w:t>add a claim</w:t>
      </w:r>
      <w:r w:rsidR="00AA5C3A">
        <w:rPr>
          <w:rFonts w:ascii="Times New Roman" w:hAnsi="Times New Roman" w:cs="Times New Roman"/>
          <w:sz w:val="24"/>
          <w:szCs w:val="24"/>
        </w:rPr>
        <w:t xml:space="preserve"> which discusses selecting a group of UE’s and modifying their DRX configurations:</w:t>
      </w:r>
    </w:p>
    <w:p w:rsidR="00AA5C3A" w:rsidRDefault="00AA5C3A" w:rsidP="00AA5C3A">
      <w:pPr>
        <w:ind w:left="720"/>
        <w:rPr>
          <w:rFonts w:ascii="Times New Roman" w:hAnsi="Times New Roman" w:cs="Times New Roman"/>
          <w:sz w:val="24"/>
          <w:szCs w:val="24"/>
        </w:rPr>
      </w:pPr>
    </w:p>
    <w:p w:rsidR="00AA5C3A" w:rsidRPr="00933A73" w:rsidRDefault="00AA5C3A" w:rsidP="00AA5C3A">
      <w:pPr>
        <w:ind w:left="720" w:firstLine="720"/>
        <w:rPr>
          <w:rFonts w:ascii="Times New Roman" w:hAnsi="Times New Roman" w:cs="Times New Roman"/>
          <w:sz w:val="24"/>
          <w:szCs w:val="24"/>
        </w:rPr>
      </w:pPr>
      <w:r w:rsidRPr="00933A73">
        <w:rPr>
          <w:rFonts w:ascii="Times New Roman" w:hAnsi="Times New Roman" w:cs="Times New Roman"/>
          <w:sz w:val="24"/>
          <w:szCs w:val="24"/>
        </w:rPr>
        <w:t xml:space="preserve">A node operable to control discontinuous reception (DRX) configurations for a plurality of user </w:t>
      </w:r>
      <w:proofErr w:type="spellStart"/>
      <w:r w:rsidRPr="00933A73">
        <w:rPr>
          <w:rFonts w:ascii="Times New Roman" w:hAnsi="Times New Roman" w:cs="Times New Roman"/>
          <w:sz w:val="24"/>
          <w:szCs w:val="24"/>
        </w:rPr>
        <w:t>equipments</w:t>
      </w:r>
      <w:proofErr w:type="spellEnd"/>
      <w:r w:rsidRPr="00933A73">
        <w:rPr>
          <w:rFonts w:ascii="Times New Roman" w:hAnsi="Times New Roman" w:cs="Times New Roman"/>
          <w:sz w:val="24"/>
          <w:szCs w:val="24"/>
        </w:rPr>
        <w:t xml:space="preserve"> (UEs), the node having computer circuitry configured to:</w:t>
      </w:r>
    </w:p>
    <w:p w:rsidR="00AA5C3A" w:rsidRPr="00933A73" w:rsidRDefault="00AA5C3A" w:rsidP="00AA5C3A">
      <w:pPr>
        <w:ind w:left="720" w:firstLine="720"/>
        <w:rPr>
          <w:rFonts w:ascii="Times New Roman" w:hAnsi="Times New Roman" w:cs="Times New Roman"/>
          <w:sz w:val="24"/>
          <w:szCs w:val="24"/>
        </w:rPr>
      </w:pPr>
      <w:r w:rsidRPr="00933A73">
        <w:rPr>
          <w:rFonts w:ascii="Times New Roman" w:hAnsi="Times New Roman" w:cs="Times New Roman"/>
          <w:sz w:val="24"/>
          <w:szCs w:val="24"/>
        </w:rPr>
        <w:t>receive a buffer overflow message, from a serving gateway (S-GW), indicating a potential overflow at an S-GW buffer when downlink information that is stored at the S-GW buffer exceeds a predetermined threshold;</w:t>
      </w:r>
    </w:p>
    <w:p w:rsidR="00AA5C3A" w:rsidRDefault="00AA5C3A" w:rsidP="00AA5C3A">
      <w:pPr>
        <w:ind w:left="1440"/>
        <w:rPr>
          <w:rFonts w:ascii="Times New Roman" w:hAnsi="Times New Roman" w:cs="Times New Roman"/>
          <w:sz w:val="24"/>
          <w:szCs w:val="24"/>
        </w:rPr>
      </w:pPr>
      <w:r w:rsidRPr="00933A73">
        <w:rPr>
          <w:rFonts w:ascii="Times New Roman" w:hAnsi="Times New Roman" w:cs="Times New Roman"/>
          <w:sz w:val="24"/>
          <w:szCs w:val="24"/>
        </w:rPr>
        <w:t xml:space="preserve">select </w:t>
      </w:r>
      <w:r>
        <w:rPr>
          <w:rFonts w:ascii="Times New Roman" w:hAnsi="Times New Roman" w:cs="Times New Roman"/>
          <w:sz w:val="24"/>
          <w:szCs w:val="24"/>
        </w:rPr>
        <w:t xml:space="preserve">a group of  </w:t>
      </w:r>
      <w:r w:rsidRPr="00933A73">
        <w:rPr>
          <w:rFonts w:ascii="Times New Roman" w:hAnsi="Times New Roman" w:cs="Times New Roman"/>
          <w:sz w:val="24"/>
          <w:szCs w:val="24"/>
        </w:rPr>
        <w:t>UEs from the plurality of UEs ac</w:t>
      </w:r>
      <w:r>
        <w:rPr>
          <w:rFonts w:ascii="Times New Roman" w:hAnsi="Times New Roman" w:cs="Times New Roman"/>
          <w:sz w:val="24"/>
          <w:szCs w:val="24"/>
        </w:rPr>
        <w:t>cording to predefined criteria;</w:t>
      </w:r>
      <w:r w:rsidRPr="00073187">
        <w:rPr>
          <w:rFonts w:ascii="Times New Roman" w:hAnsi="Times New Roman" w:cs="Times New Roman"/>
          <w:sz w:val="24"/>
          <w:szCs w:val="24"/>
        </w:rPr>
        <w:t xml:space="preserve"> </w:t>
      </w:r>
      <w:r w:rsidRPr="00933A73">
        <w:rPr>
          <w:rFonts w:ascii="Times New Roman" w:hAnsi="Times New Roman" w:cs="Times New Roman"/>
          <w:sz w:val="24"/>
          <w:szCs w:val="24"/>
        </w:rPr>
        <w:t>and</w:t>
      </w:r>
      <w:r>
        <w:rPr>
          <w:rFonts w:ascii="Times New Roman" w:hAnsi="Times New Roman" w:cs="Times New Roman"/>
          <w:sz w:val="24"/>
          <w:szCs w:val="24"/>
        </w:rPr>
        <w:t xml:space="preserve"> </w:t>
      </w:r>
    </w:p>
    <w:p w:rsidR="00AA5C3A" w:rsidRDefault="00AA5C3A" w:rsidP="00AA5C3A">
      <w:pPr>
        <w:ind w:left="1440"/>
        <w:rPr>
          <w:rFonts w:ascii="Times New Roman" w:hAnsi="Times New Roman" w:cs="Times New Roman"/>
          <w:sz w:val="24"/>
          <w:szCs w:val="24"/>
        </w:rPr>
      </w:pPr>
      <w:r w:rsidRPr="00933A73">
        <w:rPr>
          <w:rFonts w:ascii="Times New Roman" w:hAnsi="Times New Roman" w:cs="Times New Roman"/>
          <w:sz w:val="24"/>
          <w:szCs w:val="24"/>
        </w:rPr>
        <w:t xml:space="preserve">modify the DRX configurations of the </w:t>
      </w:r>
      <w:r>
        <w:rPr>
          <w:rFonts w:ascii="Times New Roman" w:hAnsi="Times New Roman" w:cs="Times New Roman"/>
          <w:sz w:val="24"/>
          <w:szCs w:val="24"/>
        </w:rPr>
        <w:t>group of UEs in order to reduce the</w:t>
      </w:r>
    </w:p>
    <w:p w:rsidR="00AA5C3A" w:rsidRDefault="00AA5C3A" w:rsidP="00AA5C3A">
      <w:pPr>
        <w:ind w:left="720"/>
        <w:rPr>
          <w:rFonts w:ascii="Times New Roman" w:hAnsi="Times New Roman" w:cs="Times New Roman"/>
          <w:sz w:val="24"/>
          <w:szCs w:val="24"/>
        </w:rPr>
      </w:pPr>
      <w:r w:rsidRPr="00933A73">
        <w:rPr>
          <w:rFonts w:ascii="Times New Roman" w:hAnsi="Times New Roman" w:cs="Times New Roman"/>
          <w:sz w:val="24"/>
          <w:szCs w:val="24"/>
        </w:rPr>
        <w:t>downlink information that is stored at the S-GW buffer, thereby reducing the potential for overflow at the S-GW buffer.</w:t>
      </w:r>
    </w:p>
    <w:p w:rsidR="00AA5C3A" w:rsidRDefault="00AA5C3A" w:rsidP="00AA5C3A">
      <w:pPr>
        <w:ind w:left="720"/>
        <w:rPr>
          <w:rFonts w:ascii="Times New Roman" w:hAnsi="Times New Roman" w:cs="Times New Roman"/>
          <w:sz w:val="24"/>
          <w:szCs w:val="24"/>
        </w:rPr>
      </w:pPr>
    </w:p>
    <w:p w:rsidR="00AA5C3A" w:rsidRPr="006D0FBC" w:rsidRDefault="00AA5C3A" w:rsidP="00AA5C3A">
      <w:pPr>
        <w:ind w:left="720"/>
        <w:rPr>
          <w:rFonts w:ascii="Times New Roman" w:hAnsi="Times New Roman" w:cs="Times New Roman"/>
          <w:sz w:val="24"/>
          <w:szCs w:val="24"/>
        </w:rPr>
      </w:pPr>
      <w:r w:rsidRPr="006D0FBC">
        <w:rPr>
          <w:rFonts w:ascii="Times New Roman" w:hAnsi="Times New Roman" w:cs="Times New Roman"/>
          <w:sz w:val="24"/>
          <w:szCs w:val="24"/>
        </w:rPr>
        <w:t>We identified in which other cases the references cited by the Examiner were cited and studied their responses. We found that in one of the case US9432932B2, there is an argument against Maeda discussing:</w:t>
      </w:r>
    </w:p>
    <w:p w:rsidR="00AA5C3A" w:rsidRPr="006D0FBC" w:rsidRDefault="00AA5C3A" w:rsidP="00AA5C3A">
      <w:pPr>
        <w:ind w:left="720"/>
        <w:rPr>
          <w:rFonts w:ascii="Times New Roman" w:hAnsi="Times New Roman" w:cs="Times New Roman"/>
          <w:sz w:val="24"/>
          <w:szCs w:val="24"/>
        </w:rPr>
      </w:pPr>
    </w:p>
    <w:p w:rsidR="00AA5C3A" w:rsidRDefault="00AA5C3A" w:rsidP="00AA5C3A">
      <w:pPr>
        <w:ind w:left="720"/>
        <w:rPr>
          <w:rFonts w:ascii="Times New Roman" w:hAnsi="Times New Roman" w:cs="Times New Roman"/>
          <w:sz w:val="24"/>
          <w:szCs w:val="24"/>
        </w:rPr>
      </w:pPr>
      <w:r w:rsidRPr="006D0FBC">
        <w:rPr>
          <w:rFonts w:ascii="Times New Roman" w:hAnsi="Times New Roman" w:cs="Times New Roman"/>
          <w:sz w:val="24"/>
          <w:szCs w:val="24"/>
        </w:rPr>
        <w:t xml:space="preserve">“It is respectfully submitted that the DTX operation disclosed in Maeda </w:t>
      </w:r>
      <w:r w:rsidRPr="00A80625">
        <w:rPr>
          <w:rFonts w:ascii="Times New Roman" w:hAnsi="Times New Roman" w:cs="Times New Roman"/>
          <w:b/>
          <w:sz w:val="24"/>
          <w:szCs w:val="24"/>
        </w:rPr>
        <w:t>relates to a specific terminal, not all the terminals in a cell</w:t>
      </w:r>
      <w:r w:rsidRPr="006D0FBC">
        <w:rPr>
          <w:rFonts w:ascii="Times New Roman" w:hAnsi="Times New Roman" w:cs="Times New Roman"/>
          <w:sz w:val="24"/>
          <w:szCs w:val="24"/>
        </w:rPr>
        <w:t>. Thus, Maeda does not disclose a method of controlling signal transmission comprising stopping transmission of a downlink control signal, a pilot signal, and data traffic except for a preamble signal and a system information message for the discontinuous signal transmission interval to the terminals, wherein the terminals in the cell do not perform any receiving operations except for the preamble signal and the system information message during the discontinuous signal transmission interval.”</w:t>
      </w:r>
      <w:r w:rsidR="00A80625">
        <w:rPr>
          <w:rFonts w:ascii="Times New Roman" w:hAnsi="Times New Roman" w:cs="Times New Roman"/>
          <w:sz w:val="24"/>
          <w:szCs w:val="24"/>
        </w:rPr>
        <w:t xml:space="preserve">  The above claim can be added based on this argument.</w:t>
      </w:r>
    </w:p>
    <w:p w:rsidR="00A80625" w:rsidRDefault="00A80625" w:rsidP="00AA5C3A">
      <w:pPr>
        <w:ind w:left="720"/>
        <w:rPr>
          <w:rFonts w:ascii="Times New Roman" w:hAnsi="Times New Roman" w:cs="Times New Roman"/>
          <w:sz w:val="24"/>
          <w:szCs w:val="24"/>
        </w:rPr>
      </w:pPr>
    </w:p>
    <w:p w:rsidR="00A80625" w:rsidRDefault="00A80625" w:rsidP="00AA5C3A">
      <w:pPr>
        <w:ind w:left="720"/>
        <w:rPr>
          <w:rFonts w:ascii="Times New Roman" w:hAnsi="Times New Roman" w:cs="Times New Roman"/>
          <w:sz w:val="24"/>
          <w:szCs w:val="24"/>
        </w:rPr>
      </w:pPr>
    </w:p>
    <w:p w:rsidR="00A80625" w:rsidRDefault="00A80625" w:rsidP="00AA5C3A">
      <w:pPr>
        <w:ind w:left="720"/>
        <w:rPr>
          <w:rFonts w:ascii="Times New Roman" w:hAnsi="Times New Roman" w:cs="Times New Roman"/>
          <w:sz w:val="24"/>
          <w:szCs w:val="24"/>
        </w:rPr>
      </w:pPr>
      <w:r>
        <w:rPr>
          <w:rFonts w:ascii="Times New Roman" w:hAnsi="Times New Roman" w:cs="Times New Roman"/>
          <w:sz w:val="24"/>
          <w:szCs w:val="24"/>
        </w:rPr>
        <w:t xml:space="preserve">2. </w:t>
      </w:r>
      <w:r w:rsidRPr="00A80625">
        <w:rPr>
          <w:rFonts w:ascii="Times New Roman" w:hAnsi="Times New Roman" w:cs="Times New Roman"/>
          <w:sz w:val="24"/>
          <w:szCs w:val="24"/>
        </w:rPr>
        <w:t>The application as filed supports a CRM claim at for example, ¶ 49.</w:t>
      </w:r>
      <w:r>
        <w:rPr>
          <w:rFonts w:ascii="Times New Roman" w:hAnsi="Times New Roman" w:cs="Times New Roman"/>
          <w:sz w:val="24"/>
          <w:szCs w:val="24"/>
        </w:rPr>
        <w:t xml:space="preserve"> Hence </w:t>
      </w:r>
      <w:r w:rsidR="009F0AA1">
        <w:rPr>
          <w:rFonts w:ascii="Times New Roman" w:hAnsi="Times New Roman" w:cs="Times New Roman"/>
          <w:b/>
          <w:sz w:val="24"/>
          <w:szCs w:val="24"/>
        </w:rPr>
        <w:t>a CRM claim can also be added</w:t>
      </w:r>
      <w:r>
        <w:rPr>
          <w:rFonts w:ascii="Times New Roman" w:hAnsi="Times New Roman" w:cs="Times New Roman"/>
          <w:sz w:val="24"/>
          <w:szCs w:val="24"/>
        </w:rPr>
        <w:t>.</w:t>
      </w:r>
    </w:p>
    <w:p w:rsidR="00774303" w:rsidRDefault="00774303" w:rsidP="00AA5C3A">
      <w:pPr>
        <w:ind w:left="720"/>
        <w:rPr>
          <w:rFonts w:ascii="Times New Roman" w:hAnsi="Times New Roman" w:cs="Times New Roman"/>
          <w:sz w:val="24"/>
          <w:szCs w:val="24"/>
        </w:rPr>
      </w:pPr>
    </w:p>
    <w:p w:rsidR="00774303" w:rsidRDefault="00774303" w:rsidP="00AA5C3A">
      <w:pPr>
        <w:ind w:left="720"/>
        <w:rPr>
          <w:rFonts w:ascii="Times New Roman" w:hAnsi="Times New Roman" w:cs="Times New Roman"/>
          <w:sz w:val="24"/>
          <w:szCs w:val="24"/>
        </w:rPr>
      </w:pPr>
      <w:r>
        <w:rPr>
          <w:rFonts w:ascii="Times New Roman" w:hAnsi="Times New Roman" w:cs="Times New Roman"/>
          <w:sz w:val="24"/>
          <w:szCs w:val="24"/>
        </w:rPr>
        <w:t>3. If the Examiner issues a Final Rejection, we can immediately request for an Interview and discuss our case by amending the independent claims by adding features of</w:t>
      </w:r>
      <w:r w:rsidR="001F18B0">
        <w:rPr>
          <w:rFonts w:ascii="Times New Roman" w:hAnsi="Times New Roman" w:cs="Times New Roman"/>
          <w:sz w:val="24"/>
          <w:szCs w:val="24"/>
        </w:rPr>
        <w:t>, for example,</w:t>
      </w:r>
      <w:r>
        <w:rPr>
          <w:rFonts w:ascii="Times New Roman" w:hAnsi="Times New Roman" w:cs="Times New Roman"/>
          <w:sz w:val="24"/>
          <w:szCs w:val="24"/>
        </w:rPr>
        <w:t xml:space="preserve"> the dependent claims</w:t>
      </w:r>
      <w:r w:rsidR="001F18B0">
        <w:rPr>
          <w:rFonts w:ascii="Times New Roman" w:hAnsi="Times New Roman" w:cs="Times New Roman"/>
          <w:sz w:val="24"/>
          <w:szCs w:val="24"/>
        </w:rPr>
        <w:t xml:space="preserve"> 9 and 10</w:t>
      </w:r>
      <w:r>
        <w:rPr>
          <w:rFonts w:ascii="Times New Roman" w:hAnsi="Times New Roman" w:cs="Times New Roman"/>
          <w:sz w:val="24"/>
          <w:szCs w:val="24"/>
        </w:rPr>
        <w:t xml:space="preserve">. We can also amend the Independent claim and request for consideration under </w:t>
      </w:r>
      <w:r w:rsidRPr="00774303">
        <w:rPr>
          <w:rFonts w:ascii="Times New Roman" w:hAnsi="Times New Roman" w:cs="Times New Roman"/>
          <w:sz w:val="24"/>
          <w:szCs w:val="24"/>
        </w:rPr>
        <w:t>AFCP 2.0</w:t>
      </w:r>
    </w:p>
    <w:p w:rsidR="00685ECF" w:rsidRDefault="00685ECF" w:rsidP="00AA5C3A">
      <w:pPr>
        <w:ind w:left="720"/>
        <w:rPr>
          <w:rFonts w:ascii="Times New Roman" w:hAnsi="Times New Roman" w:cs="Times New Roman"/>
          <w:sz w:val="24"/>
          <w:szCs w:val="24"/>
        </w:rPr>
      </w:pPr>
    </w:p>
    <w:p w:rsidR="00685ECF" w:rsidRDefault="00685ECF" w:rsidP="00AA5C3A">
      <w:pPr>
        <w:ind w:left="720"/>
        <w:rPr>
          <w:rFonts w:ascii="Times New Roman" w:hAnsi="Times New Roman" w:cs="Times New Roman"/>
          <w:sz w:val="24"/>
          <w:szCs w:val="24"/>
        </w:rPr>
      </w:pPr>
    </w:p>
    <w:p w:rsidR="00685ECF" w:rsidRPr="006A57FA" w:rsidRDefault="00685ECF" w:rsidP="00AA5C3A">
      <w:pPr>
        <w:ind w:left="720"/>
        <w:rPr>
          <w:rFonts w:ascii="Times New Roman" w:hAnsi="Times New Roman" w:cs="Times New Roman"/>
          <w:sz w:val="24"/>
          <w:szCs w:val="24"/>
        </w:rPr>
      </w:pPr>
      <w:r w:rsidRPr="006A57FA">
        <w:rPr>
          <w:rFonts w:ascii="Times New Roman" w:hAnsi="Times New Roman" w:cs="Times New Roman"/>
          <w:sz w:val="24"/>
          <w:szCs w:val="24"/>
        </w:rPr>
        <w:t xml:space="preserve">Additional </w:t>
      </w:r>
      <w:r w:rsidR="00747AEF" w:rsidRPr="006A57FA">
        <w:rPr>
          <w:rFonts w:ascii="Times New Roman" w:hAnsi="Times New Roman" w:cs="Times New Roman"/>
          <w:sz w:val="24"/>
          <w:szCs w:val="24"/>
        </w:rPr>
        <w:t>subject matter that may be claimed</w:t>
      </w:r>
      <w:r w:rsidRPr="006A57FA">
        <w:rPr>
          <w:rFonts w:ascii="Times New Roman" w:hAnsi="Times New Roman" w:cs="Times New Roman"/>
          <w:sz w:val="24"/>
          <w:szCs w:val="24"/>
        </w:rPr>
        <w:t>:</w:t>
      </w:r>
    </w:p>
    <w:p w:rsidR="00685ECF" w:rsidRPr="00685ECF" w:rsidRDefault="00685ECF" w:rsidP="00AA5C3A">
      <w:pPr>
        <w:ind w:left="720"/>
        <w:rPr>
          <w:rFonts w:ascii="Times New Roman" w:hAnsi="Times New Roman" w:cs="Times New Roman"/>
          <w:b/>
          <w:sz w:val="24"/>
          <w:szCs w:val="24"/>
        </w:rPr>
      </w:pPr>
    </w:p>
    <w:p w:rsidR="00685ECF" w:rsidRDefault="00DA5237" w:rsidP="00AA5C3A">
      <w:pPr>
        <w:ind w:left="720"/>
        <w:rPr>
          <w:rFonts w:ascii="Times New Roman" w:hAnsi="Times New Roman" w:cs="Times New Roman"/>
          <w:i/>
          <w:sz w:val="24"/>
          <w:szCs w:val="24"/>
        </w:rPr>
      </w:pPr>
      <w:r>
        <w:rPr>
          <w:rFonts w:ascii="Times New Roman" w:hAnsi="Times New Roman" w:cs="Times New Roman"/>
          <w:sz w:val="24"/>
          <w:szCs w:val="24"/>
        </w:rPr>
        <w:t xml:space="preserve">[0040] … </w:t>
      </w:r>
      <w:r w:rsidR="00685ECF" w:rsidRPr="00685ECF">
        <w:rPr>
          <w:rFonts w:ascii="Times New Roman" w:hAnsi="Times New Roman" w:cs="Times New Roman"/>
          <w:sz w:val="24"/>
          <w:szCs w:val="24"/>
        </w:rPr>
        <w:t xml:space="preserve">The S-GW may communicate the multiple buffer overload messages to the eNB when the DRX modifications performed by the eNB have not significantly reduced the potential for buffer overflow at the S-GW. </w:t>
      </w:r>
      <w:r w:rsidR="00747AEF">
        <w:rPr>
          <w:rFonts w:ascii="Times New Roman" w:hAnsi="Times New Roman" w:cs="Times New Roman"/>
          <w:sz w:val="24"/>
          <w:szCs w:val="24"/>
        </w:rPr>
        <w:t xml:space="preserve"> </w:t>
      </w:r>
      <w:r w:rsidR="00685ECF" w:rsidRPr="00CA79F1">
        <w:rPr>
          <w:rFonts w:ascii="Times New Roman" w:hAnsi="Times New Roman" w:cs="Times New Roman"/>
          <w:i/>
          <w:sz w:val="24"/>
          <w:szCs w:val="24"/>
        </w:rPr>
        <w:t xml:space="preserve">In addition, the multiple buffer overload messages with the instructions to modify the DRX configurations of the UEs may be communicated to the eNB </w:t>
      </w:r>
      <w:r w:rsidR="00685ECF" w:rsidRPr="000F6F5F">
        <w:rPr>
          <w:rFonts w:ascii="Times New Roman" w:hAnsi="Times New Roman" w:cs="Times New Roman"/>
          <w:b/>
          <w:i/>
          <w:sz w:val="24"/>
          <w:szCs w:val="24"/>
        </w:rPr>
        <w:t>within a defined time period</w:t>
      </w:r>
      <w:r w:rsidR="00685ECF" w:rsidRPr="00CA79F1">
        <w:rPr>
          <w:rFonts w:ascii="Times New Roman" w:hAnsi="Times New Roman" w:cs="Times New Roman"/>
          <w:i/>
          <w:sz w:val="24"/>
          <w:szCs w:val="24"/>
        </w:rPr>
        <w:t xml:space="preserve"> (e.g., the S-GW may send three consecutive messages in a span of two minutes).</w:t>
      </w:r>
    </w:p>
    <w:p w:rsidR="00D60D84" w:rsidRDefault="00D60D84" w:rsidP="00AA5C3A">
      <w:pPr>
        <w:ind w:left="720"/>
        <w:rPr>
          <w:rFonts w:ascii="Times New Roman" w:hAnsi="Times New Roman" w:cs="Times New Roman"/>
          <w:sz w:val="24"/>
          <w:szCs w:val="24"/>
        </w:rPr>
      </w:pPr>
    </w:p>
    <w:p w:rsidR="00D60D84" w:rsidRDefault="00D60D84" w:rsidP="00AA5C3A">
      <w:pPr>
        <w:ind w:left="720"/>
        <w:rPr>
          <w:rFonts w:ascii="Times New Roman" w:hAnsi="Times New Roman" w:cs="Times New Roman"/>
          <w:b/>
          <w:sz w:val="24"/>
          <w:szCs w:val="24"/>
        </w:rPr>
      </w:pPr>
      <w:r w:rsidRPr="00D60D84">
        <w:rPr>
          <w:rFonts w:ascii="Times New Roman" w:hAnsi="Times New Roman" w:cs="Times New Roman"/>
          <w:b/>
          <w:sz w:val="24"/>
          <w:szCs w:val="24"/>
        </w:rPr>
        <w:t>Recommendations:</w:t>
      </w:r>
    </w:p>
    <w:p w:rsidR="00D60D84" w:rsidRDefault="00D60D84" w:rsidP="00AA5C3A">
      <w:pPr>
        <w:ind w:left="720"/>
        <w:rPr>
          <w:rFonts w:ascii="Times New Roman" w:hAnsi="Times New Roman" w:cs="Times New Roman"/>
          <w:b/>
          <w:sz w:val="24"/>
          <w:szCs w:val="24"/>
        </w:rPr>
      </w:pPr>
    </w:p>
    <w:p w:rsidR="00D60D84" w:rsidRPr="00D60D84" w:rsidRDefault="00D60D84" w:rsidP="00D60D84">
      <w:pPr>
        <w:ind w:left="720"/>
        <w:rPr>
          <w:rFonts w:ascii="Times New Roman" w:hAnsi="Times New Roman" w:cs="Times New Roman"/>
          <w:sz w:val="24"/>
          <w:szCs w:val="24"/>
        </w:rPr>
      </w:pPr>
      <w:r w:rsidRPr="00D60D84">
        <w:rPr>
          <w:rFonts w:ascii="Times New Roman" w:hAnsi="Times New Roman" w:cs="Times New Roman"/>
          <w:sz w:val="24"/>
          <w:szCs w:val="24"/>
        </w:rPr>
        <w:t>{</w:t>
      </w:r>
      <w:r>
        <w:rPr>
          <w:rFonts w:ascii="Times New Roman" w:hAnsi="Times New Roman" w:cs="Times New Roman"/>
          <w:sz w:val="24"/>
          <w:szCs w:val="24"/>
        </w:rPr>
        <w:t>x</w:t>
      </w:r>
      <w:r w:rsidRPr="00D60D84">
        <w:rPr>
          <w:rFonts w:ascii="Times New Roman" w:hAnsi="Times New Roman" w:cs="Times New Roman"/>
          <w:sz w:val="24"/>
          <w:szCs w:val="24"/>
        </w:rPr>
        <w:t xml:space="preserve">} Interview </w:t>
      </w:r>
      <w:r w:rsidR="00CC1E17">
        <w:rPr>
          <w:rFonts w:ascii="Times New Roman" w:hAnsi="Times New Roman" w:cs="Times New Roman"/>
          <w:sz w:val="24"/>
          <w:szCs w:val="24"/>
        </w:rPr>
        <w:t xml:space="preserve">with Examiner </w:t>
      </w:r>
      <w:r w:rsidRPr="00D60D84">
        <w:rPr>
          <w:rFonts w:ascii="Times New Roman" w:hAnsi="Times New Roman" w:cs="Times New Roman"/>
          <w:sz w:val="24"/>
          <w:szCs w:val="24"/>
        </w:rPr>
        <w:t>recommended</w:t>
      </w:r>
    </w:p>
    <w:p w:rsidR="00D60D84" w:rsidRPr="00D60D84" w:rsidRDefault="00D60D84" w:rsidP="00D60D84">
      <w:pPr>
        <w:ind w:left="720"/>
        <w:rPr>
          <w:rFonts w:ascii="Times New Roman" w:hAnsi="Times New Roman" w:cs="Times New Roman"/>
          <w:sz w:val="24"/>
          <w:szCs w:val="24"/>
        </w:rPr>
      </w:pPr>
      <w:r w:rsidRPr="00D60D84">
        <w:rPr>
          <w:rFonts w:ascii="Times New Roman" w:hAnsi="Times New Roman" w:cs="Times New Roman"/>
          <w:sz w:val="24"/>
          <w:szCs w:val="24"/>
        </w:rPr>
        <w:t xml:space="preserve">{_} Interview </w:t>
      </w:r>
      <w:r w:rsidR="00CC1E17">
        <w:rPr>
          <w:rFonts w:ascii="Times New Roman" w:hAnsi="Times New Roman" w:cs="Times New Roman"/>
          <w:sz w:val="24"/>
          <w:szCs w:val="24"/>
        </w:rPr>
        <w:t xml:space="preserve">with the Examiner </w:t>
      </w:r>
      <w:r w:rsidRPr="00D60D84">
        <w:rPr>
          <w:rFonts w:ascii="Times New Roman" w:hAnsi="Times New Roman" w:cs="Times New Roman"/>
          <w:sz w:val="24"/>
          <w:szCs w:val="24"/>
        </w:rPr>
        <w:t>optional</w:t>
      </w:r>
    </w:p>
    <w:p w:rsidR="00D60D84" w:rsidRDefault="00D60D84" w:rsidP="00D60D84">
      <w:pPr>
        <w:ind w:left="720"/>
        <w:rPr>
          <w:rFonts w:ascii="Times New Roman" w:hAnsi="Times New Roman" w:cs="Times New Roman"/>
          <w:sz w:val="24"/>
          <w:szCs w:val="24"/>
        </w:rPr>
      </w:pPr>
      <w:r w:rsidRPr="00D60D84">
        <w:rPr>
          <w:rFonts w:ascii="Times New Roman" w:hAnsi="Times New Roman" w:cs="Times New Roman"/>
          <w:sz w:val="24"/>
          <w:szCs w:val="24"/>
        </w:rPr>
        <w:t xml:space="preserve"> </w:t>
      </w:r>
    </w:p>
    <w:p w:rsidR="00D60D84" w:rsidRDefault="00D60D84" w:rsidP="00D60D84">
      <w:pPr>
        <w:ind w:left="720"/>
        <w:rPr>
          <w:rFonts w:ascii="Times New Roman" w:hAnsi="Times New Roman" w:cs="Times New Roman"/>
          <w:sz w:val="24"/>
          <w:szCs w:val="24"/>
        </w:rPr>
      </w:pPr>
      <w:r>
        <w:rPr>
          <w:rFonts w:ascii="Times New Roman" w:hAnsi="Times New Roman" w:cs="Times New Roman"/>
          <w:sz w:val="24"/>
          <w:szCs w:val="24"/>
        </w:rPr>
        <w:t>Issuance percentage in cases with interview – 65%</w:t>
      </w:r>
    </w:p>
    <w:p w:rsidR="00D60D84" w:rsidRPr="00D60D84" w:rsidRDefault="00D60D84" w:rsidP="00D60D84">
      <w:pPr>
        <w:ind w:left="720"/>
        <w:rPr>
          <w:rFonts w:ascii="Times New Roman" w:hAnsi="Times New Roman" w:cs="Times New Roman"/>
          <w:sz w:val="24"/>
          <w:szCs w:val="24"/>
        </w:rPr>
      </w:pPr>
    </w:p>
    <w:p w:rsidR="00D60D84" w:rsidRPr="00D60D84" w:rsidRDefault="00D60D84" w:rsidP="00D60D84">
      <w:pPr>
        <w:ind w:left="720"/>
        <w:rPr>
          <w:rFonts w:ascii="Times New Roman" w:hAnsi="Times New Roman" w:cs="Times New Roman"/>
          <w:sz w:val="24"/>
          <w:szCs w:val="24"/>
        </w:rPr>
      </w:pPr>
      <w:r w:rsidRPr="00D60D84">
        <w:rPr>
          <w:rFonts w:ascii="Times New Roman" w:hAnsi="Times New Roman" w:cs="Times New Roman"/>
          <w:sz w:val="24"/>
          <w:szCs w:val="24"/>
        </w:rPr>
        <w:t>Prosecution Roadmap</w:t>
      </w:r>
    </w:p>
    <w:p w:rsidR="00D60D84" w:rsidRPr="00D60D84" w:rsidRDefault="00D60D84" w:rsidP="00D60D84">
      <w:pPr>
        <w:ind w:left="720"/>
        <w:rPr>
          <w:rFonts w:ascii="Times New Roman" w:hAnsi="Times New Roman" w:cs="Times New Roman"/>
          <w:sz w:val="24"/>
          <w:szCs w:val="24"/>
        </w:rPr>
      </w:pPr>
      <w:r w:rsidRPr="00D60D84">
        <w:rPr>
          <w:rFonts w:ascii="Times New Roman" w:hAnsi="Times New Roman" w:cs="Times New Roman"/>
          <w:sz w:val="24"/>
          <w:szCs w:val="24"/>
        </w:rPr>
        <w:t>{_} Appeal is an option if Examiner entrenched (i.e., high historical success rate)</w:t>
      </w:r>
    </w:p>
    <w:p w:rsidR="00D60D84" w:rsidRDefault="007A7307" w:rsidP="00D60D84">
      <w:pPr>
        <w:ind w:left="720"/>
        <w:rPr>
          <w:rFonts w:ascii="Times New Roman" w:hAnsi="Times New Roman" w:cs="Times New Roman"/>
          <w:sz w:val="24"/>
          <w:szCs w:val="24"/>
        </w:rPr>
      </w:pPr>
      <w:r>
        <w:rPr>
          <w:rFonts w:ascii="Times New Roman" w:hAnsi="Times New Roman" w:cs="Times New Roman"/>
          <w:sz w:val="24"/>
          <w:szCs w:val="24"/>
        </w:rPr>
        <w:t>{x</w:t>
      </w:r>
      <w:r w:rsidR="00D60D84" w:rsidRPr="00D60D84">
        <w:rPr>
          <w:rFonts w:ascii="Times New Roman" w:hAnsi="Times New Roman" w:cs="Times New Roman"/>
          <w:sz w:val="24"/>
          <w:szCs w:val="24"/>
        </w:rPr>
        <w:t>} Do not appeal (i.e., low historical success rate)</w:t>
      </w:r>
    </w:p>
    <w:p w:rsidR="007A7307" w:rsidRDefault="007A7307" w:rsidP="00D60D84">
      <w:pPr>
        <w:ind w:left="720"/>
        <w:rPr>
          <w:rFonts w:ascii="Times New Roman" w:hAnsi="Times New Roman" w:cs="Times New Roman"/>
          <w:sz w:val="24"/>
          <w:szCs w:val="24"/>
        </w:rPr>
      </w:pPr>
    </w:p>
    <w:p w:rsidR="006A57DF" w:rsidRDefault="00324BDB" w:rsidP="00D60D84">
      <w:pPr>
        <w:ind w:left="720"/>
        <w:rPr>
          <w:rFonts w:ascii="Times New Roman" w:hAnsi="Times New Roman" w:cs="Times New Roman"/>
          <w:sz w:val="24"/>
          <w:szCs w:val="24"/>
        </w:rPr>
      </w:pPr>
      <w:r>
        <w:rPr>
          <w:rFonts w:ascii="Times New Roman" w:hAnsi="Times New Roman" w:cs="Times New Roman"/>
          <w:sz w:val="24"/>
          <w:szCs w:val="24"/>
        </w:rPr>
        <w:t>Issuance percentage in cases with Appeal – 46%</w:t>
      </w:r>
    </w:p>
    <w:p w:rsidR="00220118" w:rsidRDefault="00220118" w:rsidP="00D60D84">
      <w:pPr>
        <w:ind w:left="720"/>
        <w:rPr>
          <w:rFonts w:ascii="Times New Roman" w:hAnsi="Times New Roman" w:cs="Times New Roman"/>
          <w:sz w:val="24"/>
          <w:szCs w:val="24"/>
        </w:rPr>
      </w:pPr>
    </w:p>
    <w:p w:rsidR="00220118" w:rsidRPr="00D60D84" w:rsidRDefault="00220118" w:rsidP="00220118">
      <w:pPr>
        <w:ind w:left="720"/>
        <w:rPr>
          <w:rFonts w:ascii="Times New Roman" w:hAnsi="Times New Roman" w:cs="Times New Roman"/>
          <w:sz w:val="24"/>
          <w:szCs w:val="24"/>
        </w:rPr>
      </w:pPr>
      <w:r>
        <w:rPr>
          <w:rFonts w:ascii="Times New Roman" w:hAnsi="Times New Roman" w:cs="Times New Roman"/>
          <w:sz w:val="24"/>
          <w:szCs w:val="24"/>
        </w:rPr>
        <w:t>{_} Reduce intake of additional</w:t>
      </w:r>
      <w:r w:rsidRPr="00D60D84">
        <w:rPr>
          <w:rFonts w:ascii="Times New Roman" w:hAnsi="Times New Roman" w:cs="Times New Roman"/>
          <w:sz w:val="24"/>
          <w:szCs w:val="24"/>
        </w:rPr>
        <w:t xml:space="preserve"> invention disclosures in this technical area (i.e., low allowance rates, slow prosecution, and/or crowded landscape)</w:t>
      </w:r>
    </w:p>
    <w:p w:rsidR="00220118" w:rsidRDefault="00220118" w:rsidP="00220118">
      <w:pPr>
        <w:ind w:left="720"/>
        <w:rPr>
          <w:rFonts w:ascii="Times New Roman" w:hAnsi="Times New Roman" w:cs="Times New Roman"/>
          <w:sz w:val="24"/>
          <w:szCs w:val="24"/>
        </w:rPr>
      </w:pPr>
      <w:r w:rsidRPr="00D60D84">
        <w:rPr>
          <w:rFonts w:ascii="Times New Roman" w:hAnsi="Times New Roman" w:cs="Times New Roman"/>
          <w:sz w:val="24"/>
          <w:szCs w:val="24"/>
        </w:rPr>
        <w:t>{</w:t>
      </w:r>
      <w:r>
        <w:rPr>
          <w:rFonts w:ascii="Times New Roman" w:hAnsi="Times New Roman" w:cs="Times New Roman"/>
          <w:sz w:val="24"/>
          <w:szCs w:val="24"/>
        </w:rPr>
        <w:t xml:space="preserve">x} Increase intake of additional </w:t>
      </w:r>
      <w:r w:rsidRPr="00D60D84">
        <w:rPr>
          <w:rFonts w:ascii="Times New Roman" w:hAnsi="Times New Roman" w:cs="Times New Roman"/>
          <w:sz w:val="24"/>
          <w:szCs w:val="24"/>
        </w:rPr>
        <w:t>invention disclosures in this technical area (i.e., high allowance rate, fast prosecution, and/or lower number of applications issued/pending)</w:t>
      </w:r>
    </w:p>
    <w:p w:rsidR="00220118" w:rsidRPr="00D60D84" w:rsidRDefault="00220118" w:rsidP="00D60D84">
      <w:pPr>
        <w:ind w:left="720"/>
        <w:rPr>
          <w:rFonts w:ascii="Times New Roman" w:hAnsi="Times New Roman" w:cs="Times New Roman"/>
          <w:sz w:val="24"/>
          <w:szCs w:val="24"/>
        </w:rPr>
      </w:pPr>
    </w:p>
    <w:p w:rsidR="00D60D84" w:rsidRPr="00BE6C23" w:rsidRDefault="00D60D84" w:rsidP="00D60D84">
      <w:pPr>
        <w:ind w:left="720"/>
        <w:rPr>
          <w:rFonts w:ascii="Times New Roman" w:hAnsi="Times New Roman" w:cs="Times New Roman"/>
          <w:b/>
          <w:sz w:val="24"/>
          <w:szCs w:val="24"/>
        </w:rPr>
      </w:pPr>
      <w:r w:rsidRPr="00BE6C23">
        <w:rPr>
          <w:rFonts w:ascii="Times New Roman" w:hAnsi="Times New Roman" w:cs="Times New Roman"/>
          <w:b/>
          <w:sz w:val="24"/>
          <w:szCs w:val="24"/>
        </w:rPr>
        <w:t>Companies with patent applications in this technical area</w:t>
      </w:r>
      <w:r w:rsidR="00BE6C23">
        <w:rPr>
          <w:rFonts w:ascii="Times New Roman" w:hAnsi="Times New Roman" w:cs="Times New Roman"/>
          <w:b/>
          <w:sz w:val="24"/>
          <w:szCs w:val="24"/>
        </w:rPr>
        <w:t>:</w:t>
      </w:r>
    </w:p>
    <w:p w:rsidR="00BE6C23" w:rsidRDefault="00BE6C23" w:rsidP="00D60D84">
      <w:pPr>
        <w:ind w:left="720"/>
        <w:rPr>
          <w:rFonts w:ascii="Times New Roman" w:hAnsi="Times New Roman" w:cs="Times New Roman"/>
          <w:sz w:val="24"/>
          <w:szCs w:val="24"/>
        </w:rPr>
      </w:pPr>
    </w:p>
    <w:p w:rsidR="00BE6C23" w:rsidRPr="00D60D84" w:rsidRDefault="00BE6C23" w:rsidP="00D60D84">
      <w:pPr>
        <w:ind w:left="720"/>
        <w:rPr>
          <w:rFonts w:ascii="Times New Roman" w:hAnsi="Times New Roman" w:cs="Times New Roman"/>
          <w:sz w:val="24"/>
          <w:szCs w:val="24"/>
        </w:rPr>
      </w:pPr>
      <w:r w:rsidRPr="00FF1EC6">
        <w:rPr>
          <w:noProof/>
        </w:rPr>
        <w:drawing>
          <wp:inline distT="0" distB="0" distL="0" distR="0" wp14:anchorId="7D67A934" wp14:editId="0CD31B1E">
            <wp:extent cx="4707172" cy="2051437"/>
            <wp:effectExtent l="0" t="0" r="0" b="6350"/>
            <wp:docPr id="1" name="Chart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xmlns:ve="http://schemas.openxmlformats.org/markup-compatibility/2006" id="{56712F1A-8340-4396-B9ED-A7AD564326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4208E" w:rsidRDefault="00A4208E" w:rsidP="00D60D84">
      <w:pPr>
        <w:ind w:left="720"/>
        <w:rPr>
          <w:rFonts w:ascii="Times New Roman" w:hAnsi="Times New Roman" w:cs="Times New Roman"/>
          <w:sz w:val="24"/>
          <w:szCs w:val="24"/>
        </w:rPr>
      </w:pPr>
    </w:p>
    <w:p w:rsidR="001F18B0" w:rsidRPr="001F18B0" w:rsidRDefault="001F18B0" w:rsidP="001F18B0">
      <w:pPr>
        <w:ind w:left="720"/>
        <w:rPr>
          <w:rFonts w:ascii="Times New Roman" w:hAnsi="Times New Roman" w:cs="Times New Roman"/>
          <w:b/>
          <w:sz w:val="24"/>
          <w:szCs w:val="24"/>
        </w:rPr>
      </w:pPr>
      <w:r w:rsidRPr="001F18B0">
        <w:rPr>
          <w:rFonts w:ascii="Times New Roman" w:hAnsi="Times New Roman" w:cs="Times New Roman"/>
          <w:b/>
          <w:sz w:val="24"/>
          <w:szCs w:val="24"/>
        </w:rPr>
        <w:t>Standards applicable in the future/currently for US20160057044A1</w:t>
      </w:r>
    </w:p>
    <w:p w:rsidR="001F18B0" w:rsidRDefault="001F18B0" w:rsidP="001F18B0">
      <w:pPr>
        <w:ind w:left="720"/>
        <w:rPr>
          <w:rFonts w:ascii="Times New Roman" w:hAnsi="Times New Roman" w:cs="Times New Roman"/>
          <w:sz w:val="24"/>
          <w:szCs w:val="24"/>
        </w:rPr>
      </w:pPr>
      <w:r w:rsidRPr="001F18B0">
        <w:rPr>
          <w:rFonts w:ascii="Times New Roman" w:hAnsi="Times New Roman" w:cs="Times New Roman"/>
          <w:sz w:val="24"/>
          <w:szCs w:val="24"/>
        </w:rPr>
        <w:t xml:space="preserve">LTE-MTC or </w:t>
      </w:r>
      <w:proofErr w:type="spellStart"/>
      <w:r w:rsidRPr="001F18B0">
        <w:rPr>
          <w:rFonts w:ascii="Times New Roman" w:hAnsi="Times New Roman" w:cs="Times New Roman"/>
          <w:sz w:val="24"/>
          <w:szCs w:val="24"/>
        </w:rPr>
        <w:t>inshort</w:t>
      </w:r>
      <w:proofErr w:type="spellEnd"/>
      <w:r w:rsidRPr="001F18B0">
        <w:rPr>
          <w:rFonts w:ascii="Times New Roman" w:hAnsi="Times New Roman" w:cs="Times New Roman"/>
          <w:sz w:val="24"/>
          <w:szCs w:val="24"/>
        </w:rPr>
        <w:t xml:space="preserve"> LTE-M, Other possible standards include EC-GSM-IoT, NB-IoT, </w:t>
      </w:r>
      <w:proofErr w:type="spellStart"/>
      <w:r w:rsidRPr="001F18B0">
        <w:rPr>
          <w:rFonts w:ascii="Times New Roman" w:hAnsi="Times New Roman" w:cs="Times New Roman"/>
          <w:sz w:val="24"/>
          <w:szCs w:val="24"/>
        </w:rPr>
        <w:t>eMTC</w:t>
      </w:r>
      <w:proofErr w:type="spellEnd"/>
      <w:r w:rsidRPr="001F18B0">
        <w:rPr>
          <w:rFonts w:ascii="Times New Roman" w:hAnsi="Times New Roman" w:cs="Times New Roman"/>
          <w:sz w:val="24"/>
          <w:szCs w:val="24"/>
        </w:rPr>
        <w:t>, which are currently being standardized by 3gpp.</w:t>
      </w:r>
    </w:p>
    <w:p w:rsidR="00D60D84" w:rsidRPr="00D60D84" w:rsidRDefault="00D60D84" w:rsidP="00D60D84">
      <w:pPr>
        <w:ind w:left="720"/>
        <w:rPr>
          <w:rFonts w:ascii="Times New Roman" w:hAnsi="Times New Roman" w:cs="Times New Roman"/>
          <w:sz w:val="24"/>
          <w:szCs w:val="24"/>
        </w:rPr>
      </w:pPr>
      <w:r w:rsidRPr="00D60D84">
        <w:rPr>
          <w:rFonts w:ascii="Times New Roman" w:hAnsi="Times New Roman" w:cs="Times New Roman"/>
          <w:sz w:val="24"/>
          <w:szCs w:val="24"/>
        </w:rPr>
        <w:t xml:space="preserve"> </w:t>
      </w:r>
    </w:p>
    <w:p w:rsidR="00B55C05" w:rsidRDefault="00B55C05" w:rsidP="00D60D84">
      <w:pPr>
        <w:ind w:left="720"/>
        <w:rPr>
          <w:rFonts w:ascii="Times New Roman" w:hAnsi="Times New Roman" w:cs="Times New Roman"/>
          <w:sz w:val="24"/>
          <w:szCs w:val="24"/>
        </w:rPr>
      </w:pPr>
    </w:p>
    <w:p w:rsidR="004C202A" w:rsidRDefault="004C202A" w:rsidP="00AA5C3A">
      <w:pPr>
        <w:contextualSpacing w:val="0"/>
        <w:jc w:val="center"/>
      </w:pPr>
    </w:p>
    <w:sectPr w:rsidR="004C202A" w:rsidSect="00A0040C">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F0972"/>
    <w:multiLevelType w:val="multilevel"/>
    <w:tmpl w:val="173E01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C862A5"/>
    <w:rsid w:val="000205D7"/>
    <w:rsid w:val="00021595"/>
    <w:rsid w:val="0004605E"/>
    <w:rsid w:val="000A120E"/>
    <w:rsid w:val="000A4E74"/>
    <w:rsid w:val="000B3CC8"/>
    <w:rsid w:val="000C2024"/>
    <w:rsid w:val="000C2633"/>
    <w:rsid w:val="000F6F5F"/>
    <w:rsid w:val="00111EA3"/>
    <w:rsid w:val="001470BF"/>
    <w:rsid w:val="00147D01"/>
    <w:rsid w:val="00174388"/>
    <w:rsid w:val="001D744E"/>
    <w:rsid w:val="001F0FE0"/>
    <w:rsid w:val="001F18B0"/>
    <w:rsid w:val="001F2DBE"/>
    <w:rsid w:val="00201BD4"/>
    <w:rsid w:val="00220118"/>
    <w:rsid w:val="002316AB"/>
    <w:rsid w:val="002556A0"/>
    <w:rsid w:val="00277F89"/>
    <w:rsid w:val="0029758F"/>
    <w:rsid w:val="002B16FD"/>
    <w:rsid w:val="002C4B9F"/>
    <w:rsid w:val="002D7F91"/>
    <w:rsid w:val="00320B5F"/>
    <w:rsid w:val="00321C6C"/>
    <w:rsid w:val="00324BDB"/>
    <w:rsid w:val="00330DC0"/>
    <w:rsid w:val="003728C0"/>
    <w:rsid w:val="004047D6"/>
    <w:rsid w:val="004143E6"/>
    <w:rsid w:val="00481BAC"/>
    <w:rsid w:val="0048460A"/>
    <w:rsid w:val="00484919"/>
    <w:rsid w:val="004B2D09"/>
    <w:rsid w:val="004B608D"/>
    <w:rsid w:val="004C202A"/>
    <w:rsid w:val="004F7D5D"/>
    <w:rsid w:val="005112F8"/>
    <w:rsid w:val="00515F7C"/>
    <w:rsid w:val="005B2614"/>
    <w:rsid w:val="005D45AD"/>
    <w:rsid w:val="005D75D5"/>
    <w:rsid w:val="005E46A0"/>
    <w:rsid w:val="00613782"/>
    <w:rsid w:val="006223C7"/>
    <w:rsid w:val="006364A4"/>
    <w:rsid w:val="0064229E"/>
    <w:rsid w:val="00683088"/>
    <w:rsid w:val="00685ECF"/>
    <w:rsid w:val="006A57DF"/>
    <w:rsid w:val="006A57FA"/>
    <w:rsid w:val="006D5873"/>
    <w:rsid w:val="006F704C"/>
    <w:rsid w:val="00715BB0"/>
    <w:rsid w:val="00741877"/>
    <w:rsid w:val="00747AEF"/>
    <w:rsid w:val="00752914"/>
    <w:rsid w:val="00755C54"/>
    <w:rsid w:val="00774303"/>
    <w:rsid w:val="007805C6"/>
    <w:rsid w:val="00782A81"/>
    <w:rsid w:val="007859DB"/>
    <w:rsid w:val="007A7307"/>
    <w:rsid w:val="007B43D9"/>
    <w:rsid w:val="007C0E06"/>
    <w:rsid w:val="00837413"/>
    <w:rsid w:val="00850735"/>
    <w:rsid w:val="008A0856"/>
    <w:rsid w:val="008A134E"/>
    <w:rsid w:val="008D57B7"/>
    <w:rsid w:val="008D65EF"/>
    <w:rsid w:val="00943A6D"/>
    <w:rsid w:val="00966514"/>
    <w:rsid w:val="00975F1D"/>
    <w:rsid w:val="009804AF"/>
    <w:rsid w:val="00984028"/>
    <w:rsid w:val="00990EDA"/>
    <w:rsid w:val="009C5378"/>
    <w:rsid w:val="009F0AA1"/>
    <w:rsid w:val="00A2283A"/>
    <w:rsid w:val="00A4208E"/>
    <w:rsid w:val="00A46DF2"/>
    <w:rsid w:val="00A80625"/>
    <w:rsid w:val="00AA5C3A"/>
    <w:rsid w:val="00AB2D74"/>
    <w:rsid w:val="00AB3792"/>
    <w:rsid w:val="00AB7D0E"/>
    <w:rsid w:val="00B5200C"/>
    <w:rsid w:val="00B55C05"/>
    <w:rsid w:val="00B84482"/>
    <w:rsid w:val="00B97BF2"/>
    <w:rsid w:val="00BA7761"/>
    <w:rsid w:val="00BD45EC"/>
    <w:rsid w:val="00BE6C23"/>
    <w:rsid w:val="00C01999"/>
    <w:rsid w:val="00C862A5"/>
    <w:rsid w:val="00CA79F1"/>
    <w:rsid w:val="00CC1E17"/>
    <w:rsid w:val="00CD72DD"/>
    <w:rsid w:val="00D13670"/>
    <w:rsid w:val="00D26D9F"/>
    <w:rsid w:val="00D34843"/>
    <w:rsid w:val="00D60D84"/>
    <w:rsid w:val="00D63728"/>
    <w:rsid w:val="00D80410"/>
    <w:rsid w:val="00DA451E"/>
    <w:rsid w:val="00DA5237"/>
    <w:rsid w:val="00DD4045"/>
    <w:rsid w:val="00DF0D43"/>
    <w:rsid w:val="00DF2D43"/>
    <w:rsid w:val="00E07438"/>
    <w:rsid w:val="00E247D4"/>
    <w:rsid w:val="00E37ED7"/>
    <w:rsid w:val="00E447D9"/>
    <w:rsid w:val="00E72CEF"/>
    <w:rsid w:val="00EA32B0"/>
    <w:rsid w:val="00ED69B2"/>
    <w:rsid w:val="00EF3DE9"/>
    <w:rsid w:val="00F00A3F"/>
    <w:rsid w:val="00F0178F"/>
    <w:rsid w:val="00F02869"/>
    <w:rsid w:val="00F218DC"/>
    <w:rsid w:val="00F41378"/>
    <w:rsid w:val="00F5100A"/>
    <w:rsid w:val="00F52D07"/>
    <w:rsid w:val="00F57741"/>
    <w:rsid w:val="00FF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2A5"/>
    <w:pPr>
      <w:spacing w:after="0"/>
      <w:contextualSpacing/>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862A5"/>
    <w:pPr>
      <w:spacing w:after="0"/>
      <w:contextualSpacing/>
    </w:pPr>
    <w:rPr>
      <w:rFonts w:ascii="Arial" w:eastAsia="Arial" w:hAnsi="Arial" w:cs="Arial"/>
      <w:color w:val="000000"/>
    </w:rPr>
  </w:style>
  <w:style w:type="paragraph" w:styleId="ListParagraph">
    <w:name w:val="List Paragraph"/>
    <w:basedOn w:val="Normal"/>
    <w:uiPriority w:val="34"/>
    <w:qFormat/>
    <w:rsid w:val="00C862A5"/>
    <w:pPr>
      <w:ind w:left="720"/>
    </w:pPr>
  </w:style>
  <w:style w:type="paragraph" w:styleId="BalloonText">
    <w:name w:val="Balloon Text"/>
    <w:basedOn w:val="Normal"/>
    <w:link w:val="BalloonTextChar"/>
    <w:uiPriority w:val="99"/>
    <w:semiHidden/>
    <w:unhideWhenUsed/>
    <w:rsid w:val="00BE6C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C23"/>
    <w:rPr>
      <w:rFonts w:ascii="Tahoma" w:eastAsia="Arial"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2A5"/>
    <w:pPr>
      <w:spacing w:after="0"/>
      <w:contextualSpacing/>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862A5"/>
    <w:pPr>
      <w:spacing w:after="0"/>
      <w:contextualSpacing/>
    </w:pPr>
    <w:rPr>
      <w:rFonts w:ascii="Arial" w:eastAsia="Arial" w:hAnsi="Arial" w:cs="Arial"/>
      <w:color w:val="000000"/>
    </w:rPr>
  </w:style>
  <w:style w:type="paragraph" w:styleId="ListParagraph">
    <w:name w:val="List Paragraph"/>
    <w:basedOn w:val="Normal"/>
    <w:uiPriority w:val="34"/>
    <w:qFormat/>
    <w:rsid w:val="00C862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3188">
      <w:bodyDiv w:val="1"/>
      <w:marLeft w:val="0"/>
      <w:marRight w:val="0"/>
      <w:marTop w:val="0"/>
      <w:marBottom w:val="0"/>
      <w:divBdr>
        <w:top w:val="none" w:sz="0" w:space="0" w:color="auto"/>
        <w:left w:val="none" w:sz="0" w:space="0" w:color="auto"/>
        <w:bottom w:val="none" w:sz="0" w:space="0" w:color="auto"/>
        <w:right w:val="none" w:sz="0" w:space="0" w:color="auto"/>
      </w:divBdr>
    </w:div>
    <w:div w:id="1313680423">
      <w:bodyDiv w:val="1"/>
      <w:marLeft w:val="0"/>
      <w:marRight w:val="0"/>
      <w:marTop w:val="0"/>
      <w:marBottom w:val="0"/>
      <w:divBdr>
        <w:top w:val="none" w:sz="0" w:space="0" w:color="auto"/>
        <w:left w:val="none" w:sz="0" w:space="0" w:color="auto"/>
        <w:bottom w:val="none" w:sz="0" w:space="0" w:color="auto"/>
        <w:right w:val="none" w:sz="0" w:space="0" w:color="auto"/>
      </w:divBdr>
    </w:div>
    <w:div w:id="1689409718">
      <w:bodyDiv w:val="1"/>
      <w:marLeft w:val="0"/>
      <w:marRight w:val="0"/>
      <w:marTop w:val="0"/>
      <w:marBottom w:val="0"/>
      <w:divBdr>
        <w:top w:val="none" w:sz="0" w:space="0" w:color="auto"/>
        <w:left w:val="none" w:sz="0" w:space="0" w:color="auto"/>
        <w:bottom w:val="none" w:sz="0" w:space="0" w:color="auto"/>
        <w:right w:val="none" w:sz="0" w:space="0" w:color="auto"/>
      </w:divBdr>
    </w:div>
    <w:div w:id="20396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Anil%20Sharma\Desktop\Qcom%20OA\US20160057044A1%20patent%20discussion.xlsx" TargetMode="External"/><Relationship Id="rId3"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ivotFmts>
      <c:pivotFmt>
        <c:idx val="0"/>
        <c:spPr>
          <a:solidFill>
            <a:srgbClr val="43CEFF"/>
          </a:solidFill>
        </c:spPr>
        <c:marker>
          <c:symbol val="none"/>
        </c:marker>
      </c:pivotFmt>
      <c:pivotFmt>
        <c:idx val="1"/>
        <c:spPr>
          <a:solidFill>
            <a:srgbClr val="002060"/>
          </a:solidFill>
        </c:spPr>
        <c:marker>
          <c:symbol val="none"/>
        </c:marker>
      </c:pivotFmt>
    </c:pivotFmts>
    <c:plotArea>
      <c:layout>
        <c:manualLayout>
          <c:layoutTarget val="inner"/>
          <c:xMode val="edge"/>
          <c:yMode val="edge"/>
          <c:x val="0.15130973082459"/>
          <c:y val="0.168753931036679"/>
          <c:w val="0.831682330031326"/>
          <c:h val="0.506829189324034"/>
        </c:manualLayout>
      </c:layout>
      <c:barChart>
        <c:barDir val="col"/>
        <c:grouping val="stacked"/>
        <c:varyColors val="0"/>
        <c:ser>
          <c:idx val="0"/>
          <c:order val="0"/>
          <c:tx>
            <c:strRef>
              <c:f>'top assignee'!$B$1</c:f>
              <c:strCache>
                <c:ptCount val="1"/>
                <c:pt idx="0">
                  <c:v>US Granted</c:v>
                </c:pt>
              </c:strCache>
            </c:strRef>
          </c:tx>
          <c:spPr>
            <a:solidFill>
              <a:srgbClr val="43CE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'top assignee'!$A$2:$A$11</c:f>
              <c:strCache>
                <c:ptCount val="10"/>
                <c:pt idx="0">
                  <c:v>QUALCOMM</c:v>
                </c:pt>
                <c:pt idx="1">
                  <c:v>ERICSSON</c:v>
                </c:pt>
                <c:pt idx="2">
                  <c:v>INTEL</c:v>
                </c:pt>
                <c:pt idx="3">
                  <c:v>LG CORP</c:v>
                </c:pt>
                <c:pt idx="4">
                  <c:v>NOKIA</c:v>
                </c:pt>
                <c:pt idx="5">
                  <c:v>SONY</c:v>
                </c:pt>
                <c:pt idx="6">
                  <c:v>SAMSUNG</c:v>
                </c:pt>
                <c:pt idx="7">
                  <c:v>HUAWEI</c:v>
                </c:pt>
                <c:pt idx="8">
                  <c:v>INTERDIGITAL</c:v>
                </c:pt>
                <c:pt idx="9">
                  <c:v>ZTE</c:v>
                </c:pt>
              </c:strCache>
            </c:strRef>
          </c:cat>
          <c:val>
            <c:numRef>
              <c:f>'top assignee'!$B$2:$B$11</c:f>
              <c:numCache>
                <c:formatCode>General</c:formatCode>
                <c:ptCount val="10"/>
                <c:pt idx="0">
                  <c:v>8.0</c:v>
                </c:pt>
                <c:pt idx="1">
                  <c:v>8.0</c:v>
                </c:pt>
                <c:pt idx="2">
                  <c:v>13.0</c:v>
                </c:pt>
                <c:pt idx="3">
                  <c:v>12.0</c:v>
                </c:pt>
                <c:pt idx="4">
                  <c:v>5.0</c:v>
                </c:pt>
                <c:pt idx="5">
                  <c:v>4.0</c:v>
                </c:pt>
                <c:pt idx="6">
                  <c:v>6.0</c:v>
                </c:pt>
                <c:pt idx="8">
                  <c:v>5.0</c:v>
                </c:pt>
                <c:pt idx="9">
                  <c:v>4.0</c:v>
                </c:pt>
              </c:numCache>
            </c:numRef>
          </c:val>
          <c:extLst xmlns:c16r2="http://schemas.microsoft.com/office/drawing/2015/06/chart">
            <c:ext xmlns:c16="http://schemas.microsoft.com/office/drawing/2014/chart" uri="{C3380CC4-5D6E-409C-BE32-E72D297353CC}">
              <c16:uniqueId val="{00000000-72D6-4D04-9067-14A20548142B}"/>
            </c:ext>
          </c:extLst>
        </c:ser>
        <c:ser>
          <c:idx val="1"/>
          <c:order val="1"/>
          <c:tx>
            <c:strRef>
              <c:f>'top assignee'!$C$1</c:f>
              <c:strCache>
                <c:ptCount val="1"/>
                <c:pt idx="0">
                  <c:v>US Published</c:v>
                </c:pt>
              </c:strCache>
            </c:strRef>
          </c:tx>
          <c:spPr>
            <a:solidFill>
              <a:srgbClr val="ED7A2B"/>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'top assignee'!$A$2:$A$11</c:f>
              <c:strCache>
                <c:ptCount val="10"/>
                <c:pt idx="0">
                  <c:v>QUALCOMM</c:v>
                </c:pt>
                <c:pt idx="1">
                  <c:v>ERICSSON</c:v>
                </c:pt>
                <c:pt idx="2">
                  <c:v>INTEL</c:v>
                </c:pt>
                <c:pt idx="3">
                  <c:v>LG CORP</c:v>
                </c:pt>
                <c:pt idx="4">
                  <c:v>NOKIA</c:v>
                </c:pt>
                <c:pt idx="5">
                  <c:v>SONY</c:v>
                </c:pt>
                <c:pt idx="6">
                  <c:v>SAMSUNG</c:v>
                </c:pt>
                <c:pt idx="7">
                  <c:v>HUAWEI</c:v>
                </c:pt>
                <c:pt idx="8">
                  <c:v>INTERDIGITAL</c:v>
                </c:pt>
                <c:pt idx="9">
                  <c:v>ZTE</c:v>
                </c:pt>
              </c:strCache>
            </c:strRef>
          </c:cat>
          <c:val>
            <c:numRef>
              <c:f>'top assignee'!$C$2:$C$11</c:f>
              <c:numCache>
                <c:formatCode>General</c:formatCode>
                <c:ptCount val="10"/>
                <c:pt idx="0">
                  <c:v>80.0</c:v>
                </c:pt>
                <c:pt idx="1">
                  <c:v>53.0</c:v>
                </c:pt>
                <c:pt idx="2">
                  <c:v>32.0</c:v>
                </c:pt>
                <c:pt idx="3">
                  <c:v>31.0</c:v>
                </c:pt>
                <c:pt idx="4">
                  <c:v>31.0</c:v>
                </c:pt>
                <c:pt idx="5">
                  <c:v>31.0</c:v>
                </c:pt>
                <c:pt idx="6">
                  <c:v>20.0</c:v>
                </c:pt>
                <c:pt idx="7">
                  <c:v>24.0</c:v>
                </c:pt>
                <c:pt idx="8">
                  <c:v>16.0</c:v>
                </c:pt>
                <c:pt idx="9">
                  <c:v>14.0</c:v>
                </c:pt>
              </c:numCache>
            </c:numRef>
          </c:val>
          <c:extLst xmlns:c16r2="http://schemas.microsoft.com/office/drawing/2015/06/chart">
            <c:ext xmlns:c16="http://schemas.microsoft.com/office/drawing/2014/chart" uri="{C3380CC4-5D6E-409C-BE32-E72D297353CC}">
              <c16:uniqueId val="{00000001-72D6-4D04-9067-14A20548142B}"/>
            </c:ext>
          </c:extLst>
        </c:ser>
        <c:dLbls>
          <c:showLegendKey val="0"/>
          <c:showVal val="0"/>
          <c:showCatName val="0"/>
          <c:showSerName val="0"/>
          <c:showPercent val="0"/>
          <c:showBubbleSize val="0"/>
        </c:dLbls>
        <c:gapWidth val="150"/>
        <c:overlap val="100"/>
        <c:axId val="-1967636184"/>
        <c:axId val="-1968418744"/>
      </c:barChart>
      <c:catAx>
        <c:axId val="-1967636184"/>
        <c:scaling>
          <c:orientation val="minMax"/>
        </c:scaling>
        <c:delete val="0"/>
        <c:axPos val="b"/>
        <c:numFmt formatCode="General" sourceLinked="0"/>
        <c:majorTickMark val="out"/>
        <c:minorTickMark val="none"/>
        <c:tickLblPos val="nextTo"/>
        <c:txPr>
          <a:bodyPr/>
          <a:lstStyle/>
          <a:p>
            <a:pPr>
              <a:defRPr sz="800"/>
            </a:pPr>
            <a:endParaRPr lang="en-US"/>
          </a:p>
        </c:txPr>
        <c:crossAx val="-1968418744"/>
        <c:crosses val="autoZero"/>
        <c:auto val="1"/>
        <c:lblAlgn val="ctr"/>
        <c:lblOffset val="100"/>
        <c:noMultiLvlLbl val="0"/>
      </c:catAx>
      <c:valAx>
        <c:axId val="-1968418744"/>
        <c:scaling>
          <c:orientation val="minMax"/>
        </c:scaling>
        <c:delete val="0"/>
        <c:axPos val="l"/>
        <c:title>
          <c:tx>
            <c:rich>
              <a:bodyPr rot="-5400000" vert="horz"/>
              <a:lstStyle/>
              <a:p>
                <a:pPr>
                  <a:defRPr sz="800"/>
                </a:pPr>
                <a:r>
                  <a:rPr lang="en-US" sz="800"/>
                  <a:t>Total number</a:t>
                </a:r>
                <a:r>
                  <a:rPr lang="en-US" sz="800" baseline="0"/>
                  <a:t> of unique US applications</a:t>
                </a:r>
                <a:endParaRPr lang="en-US" sz="800"/>
              </a:p>
            </c:rich>
          </c:tx>
          <c:layout>
            <c:manualLayout>
              <c:xMode val="edge"/>
              <c:yMode val="edge"/>
              <c:x val="0.0233413811554318"/>
              <c:y val="0.180357123551776"/>
            </c:manualLayout>
          </c:layout>
          <c:overlay val="0"/>
        </c:title>
        <c:numFmt formatCode="General" sourceLinked="1"/>
        <c:majorTickMark val="out"/>
        <c:minorTickMark val="none"/>
        <c:tickLblPos val="nextTo"/>
        <c:crossAx val="-1967636184"/>
        <c:crosses val="autoZero"/>
        <c:crossBetween val="between"/>
      </c:valAx>
    </c:plotArea>
    <c:legend>
      <c:legendPos val="b"/>
      <c:layout>
        <c:manualLayout>
          <c:xMode val="edge"/>
          <c:yMode val="edge"/>
          <c:x val="0.658056698545225"/>
          <c:y val="0.14224872548161"/>
          <c:w val="0.205806779800541"/>
          <c:h val="0.123268606723231"/>
        </c:manualLayout>
      </c:layout>
      <c:overlay val="0"/>
      <c:txPr>
        <a:bodyPr/>
        <a:lstStyle/>
        <a:p>
          <a:pPr>
            <a:defRPr sz="1000"/>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0.02962</cdr:x>
      <cdr:y>0.0064</cdr:y>
    </cdr:from>
    <cdr:to>
      <cdr:x>0.85652</cdr:x>
      <cdr:y>0.13145</cdr:y>
    </cdr:to>
    <cdr:sp macro="" textlink="">
      <cdr:nvSpPr>
        <cdr:cNvPr id="2" name="TextBox 1">
          <a:extLst xmlns:a="http://schemas.openxmlformats.org/drawingml/2006/main">
            <a:ext uri="{FF2B5EF4-FFF2-40B4-BE49-F238E27FC236}">
              <a16:creationId xmlns:a16="http://schemas.microsoft.com/office/drawing/2014/main" xmlns="" id="{305C8057-7F4F-4436-B0D6-252B341CCC06}"/>
            </a:ext>
          </a:extLst>
        </cdr:cNvPr>
        <cdr:cNvSpPr txBox="1"/>
      </cdr:nvSpPr>
      <cdr:spPr>
        <a:xfrm xmlns:a="http://schemas.openxmlformats.org/drawingml/2006/main">
          <a:off x="139410" y="13127"/>
          <a:ext cx="3891901" cy="2564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1200" b="1" i="0" baseline="0">
              <a:solidFill>
                <a:srgbClr val="00B0F0"/>
              </a:solidFill>
              <a:latin typeface="+mn-lt"/>
              <a:ea typeface="+mn-ea"/>
              <a:cs typeface="+mn-cs"/>
            </a:rPr>
            <a:t>TOP  10 Assignees in 5G IoT</a:t>
          </a:r>
        </a:p>
        <a:p xmlns:a="http://schemas.openxmlformats.org/drawingml/2006/main">
          <a:endParaRPr lang="en-US" sz="1200">
            <a:solidFill>
              <a:srgbClr val="00B0F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dc:creator>
  <cp:lastModifiedBy>Dolcera30</cp:lastModifiedBy>
  <cp:revision>1</cp:revision>
  <dcterms:created xsi:type="dcterms:W3CDTF">2017-03-06T06:01:00Z</dcterms:created>
  <dcterms:modified xsi:type="dcterms:W3CDTF">2017-03-06T06:01:00Z</dcterms:modified>
</cp:coreProperties>
</file>